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E901" w14:textId="77777777" w:rsidR="0087689D" w:rsidRPr="00F8759F" w:rsidRDefault="0087689D" w:rsidP="0087689D">
      <w:pPr>
        <w:overflowPunct/>
        <w:spacing w:line="240" w:lineRule="auto"/>
        <w:textAlignment w:val="auto"/>
        <w:rPr>
          <w:rFonts w:ascii="Arial" w:eastAsiaTheme="minorHAnsi" w:hAnsi="Arial" w:cs="Arial"/>
          <w:b/>
          <w:bCs/>
          <w:sz w:val="32"/>
          <w:szCs w:val="32"/>
        </w:rPr>
      </w:pPr>
    </w:p>
    <w:p w14:paraId="28A77DB8" w14:textId="6181BBD8" w:rsidR="0087689D" w:rsidRPr="00F8759F" w:rsidRDefault="000F78CF" w:rsidP="0087689D">
      <w:pPr>
        <w:overflowPunct/>
        <w:spacing w:line="240" w:lineRule="auto"/>
        <w:textAlignment w:val="auto"/>
        <w:rPr>
          <w:rFonts w:ascii="Arial" w:eastAsiaTheme="minorHAnsi" w:hAnsi="Arial" w:cs="Arial"/>
          <w:b/>
          <w:bCs/>
          <w:sz w:val="32"/>
          <w:szCs w:val="32"/>
        </w:rPr>
      </w:pPr>
      <w:r>
        <w:rPr>
          <w:rFonts w:ascii="Arial" w:eastAsiaTheme="minorHAnsi" w:hAnsi="Arial" w:cs="Arial"/>
          <w:b/>
          <w:bCs/>
          <w:sz w:val="32"/>
          <w:szCs w:val="32"/>
        </w:rPr>
        <w:t xml:space="preserve">Section </w:t>
      </w:r>
      <w:r w:rsidR="00B155DC">
        <w:rPr>
          <w:rFonts w:ascii="Arial" w:eastAsiaTheme="minorHAnsi" w:hAnsi="Arial" w:cs="Arial"/>
          <w:b/>
          <w:bCs/>
          <w:sz w:val="32"/>
          <w:szCs w:val="32"/>
        </w:rPr>
        <w:t xml:space="preserve">IV. </w:t>
      </w:r>
      <w:r w:rsidR="0087689D" w:rsidRPr="00F8759F">
        <w:rPr>
          <w:rFonts w:ascii="Arial" w:eastAsiaTheme="minorHAnsi" w:hAnsi="Arial" w:cs="Arial"/>
          <w:b/>
          <w:bCs/>
          <w:sz w:val="32"/>
          <w:szCs w:val="32"/>
        </w:rPr>
        <w:t>GENERAL CONDITIONS OF THE CONTRACT</w:t>
      </w:r>
    </w:p>
    <w:p w14:paraId="3C8EC8B6" w14:textId="3501A103" w:rsidR="0087689D" w:rsidRDefault="0087689D" w:rsidP="0087689D">
      <w:pPr>
        <w:overflowPunct/>
        <w:spacing w:line="240" w:lineRule="auto"/>
        <w:textAlignment w:val="auto"/>
        <w:rPr>
          <w:rFonts w:ascii="Arial" w:eastAsiaTheme="minorHAnsi" w:hAnsi="Arial" w:cs="Arial"/>
          <w:b/>
          <w:bCs/>
          <w:sz w:val="32"/>
          <w:szCs w:val="32"/>
        </w:rPr>
      </w:pPr>
    </w:p>
    <w:p w14:paraId="1A8AB849" w14:textId="77777777" w:rsidR="006D0300" w:rsidRPr="00F8759F" w:rsidRDefault="006D0300" w:rsidP="0087689D">
      <w:pPr>
        <w:overflowPunct/>
        <w:spacing w:line="240" w:lineRule="auto"/>
        <w:textAlignment w:val="auto"/>
        <w:rPr>
          <w:rFonts w:ascii="Arial" w:eastAsiaTheme="minorHAnsi" w:hAnsi="Arial" w:cs="Arial"/>
          <w:b/>
          <w:bCs/>
          <w:sz w:val="32"/>
          <w:szCs w:val="32"/>
        </w:rPr>
      </w:pPr>
    </w:p>
    <w:p w14:paraId="4CB6C6A5" w14:textId="77777777" w:rsidR="0087689D" w:rsidRPr="00F8759F" w:rsidRDefault="0087689D" w:rsidP="0087689D">
      <w:pPr>
        <w:overflowPunct/>
        <w:spacing w:line="240" w:lineRule="auto"/>
        <w:textAlignment w:val="auto"/>
        <w:rPr>
          <w:rFonts w:ascii="Arial" w:eastAsiaTheme="minorHAnsi" w:hAnsi="Arial" w:cs="Arial"/>
          <w:b/>
          <w:bCs/>
          <w:sz w:val="32"/>
          <w:szCs w:val="32"/>
        </w:rPr>
      </w:pPr>
      <w:r w:rsidRPr="00F8759F">
        <w:rPr>
          <w:rFonts w:ascii="Arial" w:eastAsiaTheme="minorHAnsi" w:hAnsi="Arial" w:cs="Arial"/>
          <w:b/>
          <w:bCs/>
          <w:sz w:val="32"/>
          <w:szCs w:val="32"/>
        </w:rPr>
        <w:t>Notes on the General Conditions of Contract</w:t>
      </w:r>
    </w:p>
    <w:p w14:paraId="1AEF85E7" w14:textId="77777777" w:rsidR="0087689D" w:rsidRPr="00F8759F" w:rsidRDefault="0087689D" w:rsidP="0087689D">
      <w:pPr>
        <w:overflowPunct/>
        <w:spacing w:line="240" w:lineRule="auto"/>
        <w:textAlignment w:val="auto"/>
        <w:rPr>
          <w:rFonts w:ascii="Arial" w:eastAsiaTheme="minorHAnsi" w:hAnsi="Arial" w:cs="Arial"/>
          <w:szCs w:val="24"/>
        </w:rPr>
      </w:pPr>
    </w:p>
    <w:p w14:paraId="71F0C036"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The General Conditions of Contract (GCC) in this Section, read in conjunction with the Special Conditions of Contract in Section V and other documents listed therein, should be a complete document expressing all the rights and obligations of the parties. Matters governing performance of the Supplier, payments under the contract, or matters affecting the risks, rights, and obligations of the parties under the contract are included in the GCC and Special Conditions of Contract. Any complementary information, which may be needed, shall be introduced only through the Special Conditions of Contract.</w:t>
      </w:r>
    </w:p>
    <w:p w14:paraId="3C0ADAE4" w14:textId="77777777" w:rsidR="0087689D" w:rsidRPr="00F8759F" w:rsidRDefault="0087689D" w:rsidP="0087689D">
      <w:pPr>
        <w:overflowPunct/>
        <w:spacing w:line="240" w:lineRule="auto"/>
        <w:textAlignment w:val="auto"/>
        <w:rPr>
          <w:rFonts w:ascii="Arial" w:eastAsiaTheme="minorHAnsi" w:hAnsi="Arial" w:cs="Arial"/>
          <w:b/>
          <w:bCs/>
          <w:sz w:val="28"/>
          <w:szCs w:val="28"/>
        </w:rPr>
      </w:pPr>
    </w:p>
    <w:p w14:paraId="077C3FAA" w14:textId="77777777" w:rsidR="0087689D" w:rsidRPr="00F8759F" w:rsidRDefault="0087689D" w:rsidP="0087689D">
      <w:pPr>
        <w:pStyle w:val="ListParagraph"/>
        <w:numPr>
          <w:ilvl w:val="0"/>
          <w:numId w:val="10"/>
        </w:numPr>
        <w:overflowPunct/>
        <w:spacing w:line="240" w:lineRule="auto"/>
        <w:textAlignment w:val="auto"/>
        <w:rPr>
          <w:rFonts w:ascii="Arial" w:eastAsiaTheme="minorHAnsi" w:hAnsi="Arial" w:cs="Arial"/>
          <w:b/>
          <w:bCs/>
          <w:sz w:val="28"/>
          <w:szCs w:val="28"/>
        </w:rPr>
      </w:pPr>
      <w:r w:rsidRPr="00F8759F">
        <w:rPr>
          <w:rFonts w:ascii="Arial" w:eastAsiaTheme="minorHAnsi" w:hAnsi="Arial" w:cs="Arial"/>
          <w:b/>
          <w:bCs/>
          <w:sz w:val="28"/>
          <w:szCs w:val="28"/>
        </w:rPr>
        <w:t>Scope of Contract</w:t>
      </w:r>
    </w:p>
    <w:p w14:paraId="44A30046" w14:textId="77777777" w:rsidR="0087689D" w:rsidRPr="00F8759F" w:rsidRDefault="0087689D" w:rsidP="0087689D">
      <w:pPr>
        <w:pStyle w:val="ListParagraph"/>
        <w:overflowPunct/>
        <w:spacing w:line="240" w:lineRule="auto"/>
        <w:ind w:left="360"/>
        <w:textAlignment w:val="auto"/>
        <w:rPr>
          <w:rFonts w:ascii="Arial" w:eastAsiaTheme="minorHAnsi" w:hAnsi="Arial" w:cs="Arial"/>
          <w:b/>
          <w:bCs/>
          <w:sz w:val="28"/>
          <w:szCs w:val="28"/>
        </w:rPr>
      </w:pPr>
    </w:p>
    <w:p w14:paraId="3C4E5B04" w14:textId="77777777" w:rsidR="0087689D" w:rsidRPr="00F8759F" w:rsidRDefault="0087689D" w:rsidP="0087689D">
      <w:pPr>
        <w:pStyle w:val="ListParagraph"/>
        <w:overflowPunct/>
        <w:spacing w:line="240" w:lineRule="auto"/>
        <w:ind w:left="360"/>
        <w:textAlignment w:val="auto"/>
        <w:rPr>
          <w:rFonts w:ascii="Arial" w:eastAsiaTheme="minorHAnsi" w:hAnsi="Arial" w:cs="Arial"/>
          <w:b/>
          <w:bCs/>
          <w:sz w:val="28"/>
          <w:szCs w:val="28"/>
        </w:rPr>
      </w:pPr>
      <w:r w:rsidRPr="00F8759F">
        <w:rPr>
          <w:rFonts w:ascii="Arial" w:eastAsiaTheme="minorHAnsi" w:hAnsi="Arial" w:cs="Arial"/>
          <w:szCs w:val="24"/>
        </w:rP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Additional requirements for the completion of this Contract shall be provided in the </w:t>
      </w:r>
      <w:r w:rsidRPr="00F8759F">
        <w:rPr>
          <w:rFonts w:ascii="Arial" w:eastAsiaTheme="minorHAnsi" w:hAnsi="Arial" w:cs="Arial"/>
          <w:b/>
          <w:bCs/>
          <w:szCs w:val="24"/>
        </w:rPr>
        <w:t xml:space="preserve">Special Conditions of Contract </w:t>
      </w:r>
      <w:r w:rsidRPr="00F8759F">
        <w:rPr>
          <w:rFonts w:ascii="Arial" w:eastAsiaTheme="minorHAnsi" w:hAnsi="Arial" w:cs="Arial"/>
          <w:szCs w:val="24"/>
        </w:rPr>
        <w:t>(</w:t>
      </w:r>
      <w:r w:rsidRPr="00F8759F">
        <w:rPr>
          <w:rFonts w:ascii="Arial" w:eastAsiaTheme="minorHAnsi" w:hAnsi="Arial" w:cs="Arial"/>
          <w:b/>
          <w:bCs/>
          <w:szCs w:val="24"/>
        </w:rPr>
        <w:t>SCC).</w:t>
      </w:r>
    </w:p>
    <w:p w14:paraId="25067D46" w14:textId="77777777" w:rsidR="0087689D" w:rsidRPr="00F8759F" w:rsidRDefault="0087689D" w:rsidP="0087689D">
      <w:pPr>
        <w:overflowPunct/>
        <w:spacing w:line="240" w:lineRule="auto"/>
        <w:textAlignment w:val="auto"/>
        <w:rPr>
          <w:rFonts w:ascii="Arial" w:eastAsiaTheme="minorHAnsi" w:hAnsi="Arial" w:cs="Arial"/>
          <w:szCs w:val="24"/>
        </w:rPr>
      </w:pPr>
    </w:p>
    <w:p w14:paraId="0500B196" w14:textId="77777777" w:rsidR="0087689D" w:rsidRPr="00F8759F" w:rsidRDefault="0087689D" w:rsidP="0087689D">
      <w:pPr>
        <w:pStyle w:val="ListParagraph"/>
        <w:numPr>
          <w:ilvl w:val="0"/>
          <w:numId w:val="10"/>
        </w:numPr>
        <w:overflowPunct/>
        <w:spacing w:line="240" w:lineRule="auto"/>
        <w:textAlignment w:val="auto"/>
        <w:rPr>
          <w:rFonts w:ascii="Arial" w:eastAsiaTheme="minorHAnsi" w:hAnsi="Arial" w:cs="Arial"/>
          <w:szCs w:val="24"/>
        </w:rPr>
      </w:pPr>
      <w:r w:rsidRPr="00F8759F">
        <w:rPr>
          <w:rFonts w:ascii="Arial" w:eastAsiaTheme="minorHAnsi" w:hAnsi="Arial" w:cs="Arial"/>
          <w:b/>
          <w:bCs/>
          <w:sz w:val="28"/>
          <w:szCs w:val="28"/>
        </w:rPr>
        <w:t>Terms of Payment</w:t>
      </w:r>
    </w:p>
    <w:p w14:paraId="06A98217" w14:textId="77777777" w:rsidR="0087689D" w:rsidRPr="00F8759F" w:rsidRDefault="0087689D" w:rsidP="0087689D">
      <w:pPr>
        <w:pStyle w:val="ListParagraph"/>
        <w:overflowPunct/>
        <w:spacing w:line="240" w:lineRule="auto"/>
        <w:ind w:left="360"/>
        <w:textAlignment w:val="auto"/>
        <w:rPr>
          <w:rFonts w:ascii="Arial" w:eastAsiaTheme="minorHAnsi" w:hAnsi="Arial" w:cs="Arial"/>
          <w:szCs w:val="24"/>
        </w:rPr>
      </w:pPr>
    </w:p>
    <w:p w14:paraId="2FF0617B" w14:textId="77777777" w:rsidR="0087689D" w:rsidRPr="00632031" w:rsidRDefault="0087689D" w:rsidP="0087689D">
      <w:pPr>
        <w:pStyle w:val="ListParagraph"/>
        <w:numPr>
          <w:ilvl w:val="1"/>
          <w:numId w:val="10"/>
        </w:numPr>
        <w:overflowPunct/>
        <w:spacing w:line="240" w:lineRule="auto"/>
        <w:ind w:left="990" w:hanging="630"/>
        <w:textAlignment w:val="auto"/>
        <w:rPr>
          <w:rFonts w:ascii="Arial" w:eastAsiaTheme="minorHAnsi" w:hAnsi="Arial" w:cs="Arial"/>
          <w:szCs w:val="24"/>
        </w:rPr>
      </w:pPr>
      <w:r w:rsidRPr="00632031">
        <w:rPr>
          <w:rFonts w:ascii="Arial" w:eastAsiaTheme="minorHAnsi" w:hAnsi="Arial" w:cs="Arial"/>
          <w:szCs w:val="24"/>
        </w:rPr>
        <w:t>Advance payment of the contract amount is provided under Annex “D” of the revised 2016 IRR of RA No. 9184.</w:t>
      </w:r>
    </w:p>
    <w:p w14:paraId="33D87D35" w14:textId="77777777" w:rsidR="0087689D" w:rsidRPr="00F8759F" w:rsidRDefault="0087689D" w:rsidP="0087689D">
      <w:pPr>
        <w:pStyle w:val="ListParagraph"/>
        <w:overflowPunct/>
        <w:spacing w:line="240" w:lineRule="auto"/>
        <w:ind w:left="990"/>
        <w:textAlignment w:val="auto"/>
        <w:rPr>
          <w:rFonts w:ascii="Arial" w:eastAsiaTheme="minorHAnsi" w:hAnsi="Arial" w:cs="Arial"/>
          <w:szCs w:val="24"/>
        </w:rPr>
      </w:pPr>
    </w:p>
    <w:p w14:paraId="134825B6" w14:textId="77777777" w:rsidR="0087689D" w:rsidRPr="00B155DC" w:rsidRDefault="0087689D" w:rsidP="0087689D">
      <w:pPr>
        <w:pStyle w:val="ListParagraph"/>
        <w:numPr>
          <w:ilvl w:val="1"/>
          <w:numId w:val="10"/>
        </w:numPr>
        <w:overflowPunct/>
        <w:spacing w:line="240" w:lineRule="auto"/>
        <w:ind w:left="990" w:hanging="630"/>
        <w:textAlignment w:val="auto"/>
        <w:rPr>
          <w:rFonts w:ascii="Arial" w:eastAsiaTheme="minorHAnsi" w:hAnsi="Arial" w:cs="Arial"/>
          <w:szCs w:val="24"/>
        </w:rPr>
      </w:pPr>
      <w:r w:rsidRPr="00F8759F">
        <w:rPr>
          <w:rFonts w:ascii="Arial" w:eastAsiaTheme="minorHAnsi" w:hAnsi="Arial" w:cs="Arial"/>
          <w:szCs w:val="24"/>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F8759F">
        <w:rPr>
          <w:rFonts w:ascii="Arial" w:eastAsiaTheme="minorHAnsi" w:hAnsi="Arial" w:cs="Arial"/>
          <w:b/>
          <w:bCs/>
          <w:szCs w:val="24"/>
        </w:rPr>
        <w:t>SCC</w:t>
      </w:r>
      <w:r w:rsidRPr="00F8759F">
        <w:rPr>
          <w:rFonts w:ascii="Arial" w:eastAsiaTheme="minorHAnsi" w:hAnsi="Arial" w:cs="Arial"/>
          <w:szCs w:val="24"/>
        </w:rPr>
        <w:t xml:space="preserve">. </w:t>
      </w:r>
      <w:r w:rsidRPr="00B155DC">
        <w:rPr>
          <w:rFonts w:ascii="Arial" w:eastAsiaTheme="minorHAnsi" w:hAnsi="Arial" w:cs="Arial"/>
          <w:i/>
          <w:iCs/>
          <w:szCs w:val="24"/>
        </w:rPr>
        <w:t>[Include the following clauses if Framework Agreement will be used:]</w:t>
      </w:r>
    </w:p>
    <w:p w14:paraId="51DB6738" w14:textId="77777777" w:rsidR="0087689D" w:rsidRPr="00F8759F" w:rsidRDefault="0087689D" w:rsidP="0087689D">
      <w:pPr>
        <w:pStyle w:val="ListParagraph"/>
        <w:rPr>
          <w:rFonts w:ascii="Arial" w:eastAsiaTheme="minorHAnsi" w:hAnsi="Arial" w:cs="Arial"/>
          <w:szCs w:val="24"/>
        </w:rPr>
      </w:pPr>
    </w:p>
    <w:p w14:paraId="6913C0B5" w14:textId="77777777" w:rsidR="0087689D" w:rsidRPr="00B155DC" w:rsidRDefault="0087689D" w:rsidP="0087689D">
      <w:pPr>
        <w:pStyle w:val="ListParagraph"/>
        <w:numPr>
          <w:ilvl w:val="1"/>
          <w:numId w:val="10"/>
        </w:numPr>
        <w:overflowPunct/>
        <w:spacing w:line="240" w:lineRule="auto"/>
        <w:ind w:left="990" w:hanging="630"/>
        <w:textAlignment w:val="auto"/>
        <w:rPr>
          <w:rFonts w:ascii="Arial" w:eastAsiaTheme="minorHAnsi" w:hAnsi="Arial" w:cs="Arial"/>
          <w:szCs w:val="24"/>
        </w:rPr>
      </w:pPr>
      <w:r w:rsidRPr="00B155DC">
        <w:rPr>
          <w:rFonts w:ascii="Arial" w:eastAsiaTheme="minorHAnsi" w:hAnsi="Arial" w:cs="Arial"/>
          <w:szCs w:val="24"/>
        </w:rPr>
        <w:t>For a single-year Framework Agreement, prices charged by the Supplier for Goods delivered and/or services performed under a Call-Off shall not vary from the prices quoted by the Supplier in its bid.</w:t>
      </w:r>
    </w:p>
    <w:p w14:paraId="35D4D924" w14:textId="77777777" w:rsidR="0087689D" w:rsidRPr="00B155DC" w:rsidRDefault="0087689D" w:rsidP="0087689D">
      <w:pPr>
        <w:pStyle w:val="ListParagraph"/>
        <w:rPr>
          <w:rFonts w:ascii="Arial" w:eastAsiaTheme="minorHAnsi" w:hAnsi="Arial" w:cs="Arial"/>
          <w:szCs w:val="24"/>
        </w:rPr>
      </w:pPr>
    </w:p>
    <w:p w14:paraId="419AF772" w14:textId="77777777" w:rsidR="0087689D" w:rsidRPr="00B155DC" w:rsidRDefault="0087689D" w:rsidP="0087689D">
      <w:pPr>
        <w:pStyle w:val="ListParagraph"/>
        <w:numPr>
          <w:ilvl w:val="1"/>
          <w:numId w:val="10"/>
        </w:numPr>
        <w:overflowPunct/>
        <w:spacing w:line="240" w:lineRule="auto"/>
        <w:ind w:left="990" w:hanging="630"/>
        <w:textAlignment w:val="auto"/>
        <w:rPr>
          <w:rFonts w:ascii="Arial" w:eastAsiaTheme="minorHAnsi" w:hAnsi="Arial" w:cs="Arial"/>
          <w:szCs w:val="24"/>
        </w:rPr>
      </w:pPr>
      <w:r w:rsidRPr="00B155DC">
        <w:rPr>
          <w:rFonts w:ascii="Arial" w:eastAsiaTheme="minorHAnsi" w:hAnsi="Arial" w:cs="Arial"/>
          <w:szCs w:val="24"/>
        </w:rPr>
        <w:t>For multi-year Framework Agreement, prices charged by the Supplier for Goods delivered and/or services performed under a Call-Off shall not vary from the prices quoted by the Supplier during conduct of Mini-Competition.</w:t>
      </w:r>
    </w:p>
    <w:p w14:paraId="7113A12F" w14:textId="77777777" w:rsidR="0087689D" w:rsidRPr="00F8759F" w:rsidRDefault="0087689D" w:rsidP="0087689D">
      <w:pPr>
        <w:pStyle w:val="ListParagraph"/>
        <w:rPr>
          <w:rFonts w:ascii="Arial" w:eastAsiaTheme="minorHAnsi" w:hAnsi="Arial" w:cs="Arial"/>
          <w:b/>
          <w:bCs/>
          <w:sz w:val="28"/>
          <w:szCs w:val="28"/>
        </w:rPr>
      </w:pPr>
    </w:p>
    <w:p w14:paraId="191B80F0" w14:textId="51392906" w:rsidR="0087689D" w:rsidRPr="00B155DC" w:rsidRDefault="0087689D" w:rsidP="0087689D">
      <w:pPr>
        <w:pStyle w:val="ListParagraph"/>
        <w:numPr>
          <w:ilvl w:val="0"/>
          <w:numId w:val="10"/>
        </w:numPr>
        <w:overflowPunct/>
        <w:spacing w:line="240" w:lineRule="auto"/>
        <w:textAlignment w:val="auto"/>
        <w:rPr>
          <w:rFonts w:ascii="Arial" w:eastAsiaTheme="minorHAnsi" w:hAnsi="Arial" w:cs="Arial"/>
          <w:szCs w:val="24"/>
        </w:rPr>
      </w:pPr>
      <w:r w:rsidRPr="00F8759F">
        <w:rPr>
          <w:rFonts w:ascii="Arial" w:eastAsiaTheme="minorHAnsi" w:hAnsi="Arial" w:cs="Arial"/>
          <w:b/>
          <w:bCs/>
          <w:sz w:val="28"/>
          <w:szCs w:val="28"/>
        </w:rPr>
        <w:t>Performance Security</w:t>
      </w:r>
    </w:p>
    <w:p w14:paraId="18E79F67" w14:textId="77777777" w:rsidR="00B155DC" w:rsidRPr="00F8759F" w:rsidRDefault="00B155DC" w:rsidP="00B155DC">
      <w:pPr>
        <w:pStyle w:val="ListParagraph"/>
        <w:overflowPunct/>
        <w:spacing w:line="240" w:lineRule="auto"/>
        <w:ind w:left="360"/>
        <w:textAlignment w:val="auto"/>
        <w:rPr>
          <w:rFonts w:ascii="Arial" w:eastAsiaTheme="minorHAnsi" w:hAnsi="Arial" w:cs="Arial"/>
          <w:szCs w:val="24"/>
        </w:rPr>
      </w:pPr>
    </w:p>
    <w:p w14:paraId="4F2E2A37" w14:textId="77777777" w:rsidR="0087689D" w:rsidRPr="00F8759F" w:rsidRDefault="0087689D" w:rsidP="0087689D">
      <w:pPr>
        <w:pStyle w:val="ListParagraph"/>
        <w:overflowPunct/>
        <w:spacing w:line="240" w:lineRule="auto"/>
        <w:ind w:left="360"/>
        <w:textAlignment w:val="auto"/>
        <w:rPr>
          <w:rFonts w:ascii="Arial" w:eastAsiaTheme="minorHAnsi" w:hAnsi="Arial" w:cs="Arial"/>
          <w:sz w:val="20"/>
        </w:rPr>
      </w:pPr>
      <w:r w:rsidRPr="00F8759F">
        <w:rPr>
          <w:rFonts w:ascii="Arial" w:eastAsiaTheme="minorHAnsi" w:hAnsi="Arial" w:cs="Arial"/>
          <w:szCs w:val="24"/>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F8759F">
        <w:rPr>
          <w:rFonts w:ascii="Arial" w:eastAsiaTheme="minorHAnsi" w:hAnsi="Arial" w:cs="Arial"/>
          <w:i/>
          <w:iCs/>
          <w:szCs w:val="24"/>
        </w:rPr>
        <w:t>{[Include if Framework Agreement will be used:] In the case o</w:t>
      </w:r>
      <w:r w:rsidRPr="00F8759F">
        <w:rPr>
          <w:rFonts w:ascii="Arial" w:eastAsiaTheme="minorHAnsi" w:hAnsi="Arial" w:cs="Arial"/>
          <w:szCs w:val="24"/>
        </w:rPr>
        <w:t>f Framework Agreement, the Bidder may opt to furnish the performance security or a Performance Securing Declaration as defined under the Guidelines on the Use of Framework Agreement.</w:t>
      </w:r>
      <w:r w:rsidRPr="00F8759F">
        <w:rPr>
          <w:rFonts w:ascii="Arial" w:eastAsiaTheme="minorHAnsi" w:hAnsi="Arial" w:cs="Arial"/>
          <w:i/>
          <w:iCs/>
          <w:szCs w:val="24"/>
        </w:rPr>
        <w:t xml:space="preserve">} </w:t>
      </w:r>
      <w:r w:rsidRPr="00F8759F">
        <w:rPr>
          <w:rFonts w:ascii="Arial" w:eastAsiaTheme="minorHAnsi" w:hAnsi="Arial" w:cs="Arial"/>
          <w:sz w:val="20"/>
        </w:rPr>
        <w:t>27</w:t>
      </w:r>
    </w:p>
    <w:p w14:paraId="39164E35" w14:textId="77777777" w:rsidR="0087689D" w:rsidRPr="00F8759F" w:rsidRDefault="0087689D" w:rsidP="0087689D">
      <w:pPr>
        <w:pStyle w:val="ListParagraph"/>
        <w:overflowPunct/>
        <w:spacing w:line="240" w:lineRule="auto"/>
        <w:ind w:left="360"/>
        <w:textAlignment w:val="auto"/>
        <w:rPr>
          <w:rFonts w:ascii="Arial" w:eastAsiaTheme="minorHAnsi" w:hAnsi="Arial" w:cs="Arial"/>
          <w:szCs w:val="24"/>
        </w:rPr>
      </w:pPr>
    </w:p>
    <w:p w14:paraId="27C31302" w14:textId="77777777" w:rsidR="0087689D" w:rsidRPr="00F8759F" w:rsidRDefault="0087689D" w:rsidP="0087689D">
      <w:pPr>
        <w:pStyle w:val="ListParagraph"/>
        <w:numPr>
          <w:ilvl w:val="0"/>
          <w:numId w:val="10"/>
        </w:numPr>
        <w:overflowPunct/>
        <w:spacing w:line="240" w:lineRule="auto"/>
        <w:textAlignment w:val="auto"/>
        <w:rPr>
          <w:rFonts w:ascii="Arial" w:eastAsiaTheme="minorHAnsi" w:hAnsi="Arial" w:cs="Arial"/>
          <w:b/>
          <w:bCs/>
          <w:sz w:val="28"/>
          <w:szCs w:val="28"/>
        </w:rPr>
      </w:pPr>
      <w:r w:rsidRPr="00F8759F">
        <w:rPr>
          <w:rFonts w:ascii="Arial" w:eastAsiaTheme="minorHAnsi" w:hAnsi="Arial" w:cs="Arial"/>
          <w:b/>
          <w:bCs/>
          <w:sz w:val="28"/>
          <w:szCs w:val="28"/>
        </w:rPr>
        <w:t>Inspection and Tests</w:t>
      </w:r>
    </w:p>
    <w:p w14:paraId="01BCFFB5" w14:textId="77777777" w:rsidR="0087689D" w:rsidRPr="00F8759F" w:rsidRDefault="0087689D" w:rsidP="0087689D">
      <w:pPr>
        <w:pStyle w:val="ListParagraph"/>
        <w:overflowPunct/>
        <w:spacing w:line="240" w:lineRule="auto"/>
        <w:ind w:left="360"/>
        <w:textAlignment w:val="auto"/>
        <w:rPr>
          <w:rFonts w:ascii="Arial" w:eastAsiaTheme="minorHAnsi" w:hAnsi="Arial" w:cs="Arial"/>
          <w:b/>
          <w:bCs/>
          <w:sz w:val="28"/>
          <w:szCs w:val="28"/>
        </w:rPr>
      </w:pPr>
    </w:p>
    <w:p w14:paraId="4AAA7D46" w14:textId="77777777" w:rsidR="0087689D" w:rsidRPr="00F8759F" w:rsidRDefault="0087689D" w:rsidP="0087689D">
      <w:pPr>
        <w:pStyle w:val="ListParagraph"/>
        <w:overflowPunct/>
        <w:spacing w:line="240" w:lineRule="auto"/>
        <w:ind w:left="360"/>
        <w:textAlignment w:val="auto"/>
        <w:rPr>
          <w:rFonts w:ascii="Arial" w:eastAsiaTheme="minorHAnsi" w:hAnsi="Arial" w:cs="Arial"/>
          <w:b/>
          <w:bCs/>
          <w:sz w:val="28"/>
          <w:szCs w:val="28"/>
        </w:rPr>
      </w:pPr>
      <w:r w:rsidRPr="00F8759F">
        <w:rPr>
          <w:rFonts w:ascii="Arial" w:eastAsiaTheme="minorHAnsi" w:hAnsi="Arial" w:cs="Arial"/>
          <w:szCs w:val="24"/>
        </w:rPr>
        <w:t xml:space="preserve">The Procuring Entity or its representative shall have the right to inspect and/or to test the Goods to confirm their conformity to the Project </w:t>
      </w:r>
      <w:r w:rsidRPr="00F8759F">
        <w:rPr>
          <w:rFonts w:ascii="Arial" w:eastAsiaTheme="minorHAnsi" w:hAnsi="Arial" w:cs="Arial"/>
          <w:i/>
          <w:iCs/>
          <w:szCs w:val="24"/>
        </w:rPr>
        <w:t xml:space="preserve">{[Include if Framework Agreement will be used:] </w:t>
      </w:r>
      <w:r w:rsidRPr="00F8759F">
        <w:rPr>
          <w:rFonts w:ascii="Arial" w:eastAsiaTheme="minorHAnsi" w:hAnsi="Arial" w:cs="Arial"/>
          <w:szCs w:val="24"/>
        </w:rPr>
        <w:t>or Framework Agreement</w:t>
      </w:r>
      <w:r w:rsidRPr="00F8759F">
        <w:rPr>
          <w:rFonts w:ascii="Arial" w:eastAsiaTheme="minorHAnsi" w:hAnsi="Arial" w:cs="Arial"/>
          <w:i/>
          <w:iCs/>
          <w:szCs w:val="24"/>
        </w:rPr>
        <w:t xml:space="preserve">} </w:t>
      </w:r>
      <w:r w:rsidRPr="00F8759F">
        <w:rPr>
          <w:rFonts w:ascii="Arial" w:eastAsiaTheme="minorHAnsi" w:hAnsi="Arial" w:cs="Arial"/>
          <w:szCs w:val="24"/>
        </w:rPr>
        <w:t xml:space="preserve">specifications at no extra cost to the Procuring Entity in accordance with the Generic Procurement Manual. In addition to tests in the </w:t>
      </w:r>
      <w:r w:rsidRPr="00F8759F">
        <w:rPr>
          <w:rFonts w:ascii="Arial" w:eastAsiaTheme="minorHAnsi" w:hAnsi="Arial" w:cs="Arial"/>
          <w:b/>
          <w:bCs/>
          <w:szCs w:val="24"/>
        </w:rPr>
        <w:t>SCC</w:t>
      </w:r>
      <w:r w:rsidRPr="00F8759F">
        <w:rPr>
          <w:rFonts w:ascii="Arial" w:eastAsiaTheme="minorHAnsi" w:hAnsi="Arial" w:cs="Arial"/>
          <w:szCs w:val="24"/>
        </w:rPr>
        <w:t xml:space="preserve">, </w:t>
      </w:r>
      <w:r w:rsidRPr="00F8759F">
        <w:rPr>
          <w:rFonts w:ascii="Arial" w:eastAsiaTheme="minorHAnsi" w:hAnsi="Arial" w:cs="Arial"/>
          <w:b/>
          <w:bCs/>
          <w:szCs w:val="24"/>
        </w:rPr>
        <w:t xml:space="preserve">Section IV (Technical Specifications) </w:t>
      </w:r>
      <w:r w:rsidRPr="00F8759F">
        <w:rPr>
          <w:rFonts w:ascii="Arial" w:eastAsiaTheme="minorHAnsi" w:hAnsi="Arial" w:cs="Arial"/>
          <w:szCs w:val="24"/>
        </w:rPr>
        <w:t>shall specify what inspections and/or tests the Procuring Entity requires, and where they are to be conducted. The Procuring Entity shall notify the Supplier in writing, in a timely manner, of the identity of any representatives retained for these purposes. All reasonable facilities and assistance for the inspection and testing of Goods, including access to drawings and production data, shall be provided by the Supplier to the authorized inspectors at no charge to the Procuring Entity.</w:t>
      </w:r>
    </w:p>
    <w:p w14:paraId="0994BAF4" w14:textId="77777777" w:rsidR="0087689D" w:rsidRPr="00F8759F" w:rsidRDefault="0087689D" w:rsidP="0087689D">
      <w:pPr>
        <w:pStyle w:val="ListParagraph"/>
        <w:overflowPunct/>
        <w:spacing w:line="240" w:lineRule="auto"/>
        <w:ind w:left="990"/>
        <w:textAlignment w:val="auto"/>
        <w:rPr>
          <w:rFonts w:ascii="Arial" w:eastAsiaTheme="minorHAnsi" w:hAnsi="Arial" w:cs="Arial"/>
          <w:b/>
          <w:bCs/>
          <w:sz w:val="28"/>
          <w:szCs w:val="28"/>
        </w:rPr>
      </w:pPr>
    </w:p>
    <w:p w14:paraId="29D4E8ED" w14:textId="77777777" w:rsidR="0087689D" w:rsidRPr="00F8759F" w:rsidRDefault="0087689D" w:rsidP="0087689D">
      <w:pPr>
        <w:pStyle w:val="ListParagraph"/>
        <w:numPr>
          <w:ilvl w:val="0"/>
          <w:numId w:val="10"/>
        </w:numPr>
        <w:overflowPunct/>
        <w:spacing w:line="240" w:lineRule="auto"/>
        <w:textAlignment w:val="auto"/>
        <w:rPr>
          <w:rFonts w:ascii="Arial" w:eastAsiaTheme="minorHAnsi" w:hAnsi="Arial" w:cs="Arial"/>
          <w:b/>
          <w:bCs/>
          <w:sz w:val="28"/>
          <w:szCs w:val="28"/>
        </w:rPr>
      </w:pPr>
      <w:r w:rsidRPr="00F8759F">
        <w:rPr>
          <w:rFonts w:ascii="Arial" w:eastAsiaTheme="minorHAnsi" w:hAnsi="Arial" w:cs="Arial"/>
          <w:b/>
          <w:bCs/>
          <w:sz w:val="28"/>
          <w:szCs w:val="28"/>
        </w:rPr>
        <w:t>Warranty</w:t>
      </w:r>
    </w:p>
    <w:p w14:paraId="67F88E1B" w14:textId="77777777" w:rsidR="0087689D" w:rsidRPr="00F8759F" w:rsidRDefault="0087689D" w:rsidP="0087689D">
      <w:pPr>
        <w:pStyle w:val="ListParagraph"/>
        <w:overflowPunct/>
        <w:spacing w:line="240" w:lineRule="auto"/>
        <w:ind w:left="360"/>
        <w:textAlignment w:val="auto"/>
        <w:rPr>
          <w:rFonts w:ascii="Arial" w:eastAsiaTheme="minorHAnsi" w:hAnsi="Arial" w:cs="Arial"/>
          <w:b/>
          <w:bCs/>
          <w:sz w:val="28"/>
          <w:szCs w:val="28"/>
        </w:rPr>
      </w:pPr>
    </w:p>
    <w:p w14:paraId="4570A2FC" w14:textId="77777777" w:rsidR="0087689D" w:rsidRPr="00B155DC" w:rsidRDefault="0087689D" w:rsidP="0087689D">
      <w:pPr>
        <w:pStyle w:val="ListParagraph"/>
        <w:numPr>
          <w:ilvl w:val="1"/>
          <w:numId w:val="10"/>
        </w:numPr>
        <w:overflowPunct/>
        <w:spacing w:line="240" w:lineRule="auto"/>
        <w:ind w:left="990" w:hanging="630"/>
        <w:textAlignment w:val="auto"/>
        <w:rPr>
          <w:rFonts w:ascii="Arial" w:eastAsiaTheme="minorHAnsi" w:hAnsi="Arial" w:cs="Arial"/>
          <w:b/>
          <w:bCs/>
          <w:sz w:val="28"/>
          <w:szCs w:val="28"/>
        </w:rPr>
      </w:pPr>
      <w:r w:rsidRPr="00B155DC">
        <w:rPr>
          <w:rFonts w:ascii="Arial" w:eastAsiaTheme="minorHAnsi" w:hAnsi="Arial" w:cs="Arial"/>
          <w:szCs w:val="24"/>
        </w:rPr>
        <w:t>In order to assure that manufacturing defects shall be corrected by the Supplier, a warranty shall be required from the Supplier as provided under Section 62.1 of the 2016 revised IRR of RA No. 9184.</w:t>
      </w:r>
    </w:p>
    <w:p w14:paraId="0D297D15" w14:textId="77777777" w:rsidR="0087689D" w:rsidRPr="00B155DC" w:rsidRDefault="0087689D" w:rsidP="0087689D">
      <w:pPr>
        <w:pStyle w:val="ListParagraph"/>
        <w:overflowPunct/>
        <w:spacing w:line="240" w:lineRule="auto"/>
        <w:ind w:left="990" w:hanging="630"/>
        <w:textAlignment w:val="auto"/>
        <w:rPr>
          <w:rFonts w:ascii="Arial" w:eastAsiaTheme="minorHAnsi" w:hAnsi="Arial" w:cs="Arial"/>
          <w:b/>
          <w:bCs/>
          <w:sz w:val="28"/>
          <w:szCs w:val="28"/>
        </w:rPr>
      </w:pPr>
    </w:p>
    <w:p w14:paraId="0BB058D0" w14:textId="77777777" w:rsidR="0087689D" w:rsidRPr="00B155DC" w:rsidRDefault="0087689D" w:rsidP="0087689D">
      <w:pPr>
        <w:pStyle w:val="ListParagraph"/>
        <w:numPr>
          <w:ilvl w:val="1"/>
          <w:numId w:val="10"/>
        </w:numPr>
        <w:overflowPunct/>
        <w:spacing w:line="240" w:lineRule="auto"/>
        <w:ind w:left="990" w:hanging="630"/>
        <w:textAlignment w:val="auto"/>
        <w:rPr>
          <w:rFonts w:ascii="Arial" w:eastAsiaTheme="minorHAnsi" w:hAnsi="Arial" w:cs="Arial"/>
          <w:b/>
          <w:bCs/>
          <w:sz w:val="28"/>
          <w:szCs w:val="28"/>
        </w:rPr>
      </w:pPr>
      <w:r w:rsidRPr="00B155DC">
        <w:rPr>
          <w:rFonts w:ascii="Arial" w:eastAsiaTheme="minorHAnsi" w:hAnsi="Arial" w:cs="Arial"/>
          <w:szCs w:val="24"/>
        </w:rPr>
        <w:t>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w:t>
      </w:r>
    </w:p>
    <w:p w14:paraId="074BD04C" w14:textId="77777777" w:rsidR="0087689D" w:rsidRPr="00F8759F" w:rsidRDefault="0087689D" w:rsidP="0087689D">
      <w:pPr>
        <w:overflowPunct/>
        <w:spacing w:line="240" w:lineRule="auto"/>
        <w:textAlignment w:val="auto"/>
        <w:rPr>
          <w:rFonts w:ascii="Arial" w:eastAsiaTheme="minorHAnsi" w:hAnsi="Arial" w:cs="Arial"/>
          <w:b/>
          <w:bCs/>
          <w:sz w:val="28"/>
          <w:szCs w:val="28"/>
        </w:rPr>
      </w:pPr>
    </w:p>
    <w:p w14:paraId="0282B7F3" w14:textId="77777777" w:rsidR="0087689D" w:rsidRPr="00F8759F" w:rsidRDefault="0087689D" w:rsidP="0087689D">
      <w:pPr>
        <w:pStyle w:val="ListParagraph"/>
        <w:numPr>
          <w:ilvl w:val="0"/>
          <w:numId w:val="10"/>
        </w:numPr>
        <w:overflowPunct/>
        <w:spacing w:line="240" w:lineRule="auto"/>
        <w:textAlignment w:val="auto"/>
        <w:rPr>
          <w:rFonts w:ascii="Arial" w:eastAsiaTheme="minorHAnsi" w:hAnsi="Arial" w:cs="Arial"/>
          <w:b/>
          <w:bCs/>
          <w:sz w:val="28"/>
          <w:szCs w:val="28"/>
        </w:rPr>
      </w:pPr>
      <w:r w:rsidRPr="00F8759F">
        <w:rPr>
          <w:rFonts w:ascii="Arial" w:eastAsiaTheme="minorHAnsi" w:hAnsi="Arial" w:cs="Arial"/>
          <w:b/>
          <w:bCs/>
          <w:sz w:val="28"/>
          <w:szCs w:val="28"/>
        </w:rPr>
        <w:t>Liability of the Supplier</w:t>
      </w:r>
    </w:p>
    <w:p w14:paraId="6BD78B90" w14:textId="77777777" w:rsidR="0087689D" w:rsidRPr="00B155DC" w:rsidRDefault="0087689D" w:rsidP="0087689D">
      <w:pPr>
        <w:pStyle w:val="ListParagraph"/>
        <w:overflowPunct/>
        <w:spacing w:line="240" w:lineRule="auto"/>
        <w:ind w:left="360"/>
        <w:textAlignment w:val="auto"/>
        <w:rPr>
          <w:rFonts w:ascii="Arial" w:eastAsiaTheme="minorHAnsi" w:hAnsi="Arial" w:cs="Arial"/>
          <w:b/>
          <w:bCs/>
          <w:sz w:val="28"/>
          <w:szCs w:val="28"/>
        </w:rPr>
      </w:pPr>
    </w:p>
    <w:p w14:paraId="47120C8C" w14:textId="77777777" w:rsidR="0087689D" w:rsidRPr="00B155DC" w:rsidRDefault="0087689D" w:rsidP="0087689D">
      <w:pPr>
        <w:pStyle w:val="ListParagraph"/>
        <w:overflowPunct/>
        <w:spacing w:line="240" w:lineRule="auto"/>
        <w:ind w:left="360"/>
        <w:textAlignment w:val="auto"/>
        <w:rPr>
          <w:rFonts w:ascii="Arial" w:eastAsiaTheme="minorHAnsi" w:hAnsi="Arial" w:cs="Arial"/>
          <w:szCs w:val="24"/>
        </w:rPr>
      </w:pPr>
      <w:r w:rsidRPr="00B155DC">
        <w:rPr>
          <w:rFonts w:ascii="Arial" w:eastAsiaTheme="minorHAnsi" w:hAnsi="Arial" w:cs="Arial"/>
          <w:szCs w:val="24"/>
        </w:rPr>
        <w:t>The Supplier’s liability under this Contract shall be as provided by the laws of the Republic of the Philippines. If the Supplier is a joint venture, all partners to the joint venture shall be jointly and severally liable to the Procuring Entity</w:t>
      </w:r>
    </w:p>
    <w:p w14:paraId="1A7843BC" w14:textId="77777777" w:rsidR="0087689D" w:rsidRPr="00F8759F" w:rsidRDefault="0087689D" w:rsidP="0087689D">
      <w:pPr>
        <w:overflowPunct/>
        <w:spacing w:line="240" w:lineRule="auto"/>
        <w:textAlignment w:val="auto"/>
        <w:rPr>
          <w:rFonts w:ascii="Arial" w:eastAsiaTheme="minorHAnsi" w:hAnsi="Arial" w:cs="Arial"/>
          <w:b/>
          <w:bCs/>
          <w:sz w:val="28"/>
          <w:szCs w:val="28"/>
        </w:rPr>
      </w:pPr>
    </w:p>
    <w:p w14:paraId="441F6DCC" w14:textId="77777777" w:rsidR="0087689D" w:rsidRPr="00F8759F" w:rsidRDefault="0087689D" w:rsidP="0087689D">
      <w:pPr>
        <w:overflowPunct/>
        <w:spacing w:line="240" w:lineRule="auto"/>
        <w:textAlignment w:val="auto"/>
        <w:rPr>
          <w:rFonts w:ascii="Arial" w:eastAsiaTheme="minorHAnsi" w:hAnsi="Arial" w:cs="Arial"/>
          <w:b/>
          <w:bCs/>
          <w:sz w:val="32"/>
          <w:szCs w:val="32"/>
        </w:rPr>
      </w:pPr>
      <w:r w:rsidRPr="00F8759F">
        <w:rPr>
          <w:rFonts w:ascii="Arial" w:eastAsiaTheme="minorHAnsi" w:hAnsi="Arial" w:cs="Arial"/>
          <w:b/>
          <w:bCs/>
          <w:sz w:val="32"/>
          <w:szCs w:val="32"/>
        </w:rPr>
        <w:t>Notes on the Special Conditions of Contract</w:t>
      </w:r>
    </w:p>
    <w:p w14:paraId="04C40494" w14:textId="77777777" w:rsidR="0087689D" w:rsidRPr="00F8759F" w:rsidRDefault="0087689D" w:rsidP="0087689D">
      <w:pPr>
        <w:overflowPunct/>
        <w:spacing w:line="240" w:lineRule="auto"/>
        <w:textAlignment w:val="auto"/>
        <w:rPr>
          <w:rFonts w:ascii="Arial" w:eastAsiaTheme="minorHAnsi" w:hAnsi="Arial" w:cs="Arial"/>
          <w:b/>
          <w:bCs/>
          <w:sz w:val="32"/>
          <w:szCs w:val="32"/>
        </w:rPr>
      </w:pPr>
    </w:p>
    <w:p w14:paraId="6EF05098"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Similar to the BDS, the clauses in this Section are intended to assist the Procuring Entity in</w:t>
      </w:r>
    </w:p>
    <w:p w14:paraId="1450C537"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providing contract-specific information in relation to corresponding clauses in the GCC</w:t>
      </w:r>
    </w:p>
    <w:p w14:paraId="79AA9B54"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 xml:space="preserve">found in </w:t>
      </w:r>
      <w:r w:rsidRPr="00F939E7">
        <w:rPr>
          <w:rFonts w:ascii="Arial" w:eastAsiaTheme="minorHAnsi" w:hAnsi="Arial" w:cs="Arial"/>
          <w:szCs w:val="24"/>
        </w:rPr>
        <w:t>Section IV.</w:t>
      </w:r>
    </w:p>
    <w:p w14:paraId="2115E93E" w14:textId="77777777" w:rsidR="0087689D" w:rsidRPr="00F8759F" w:rsidRDefault="0087689D" w:rsidP="0087689D">
      <w:pPr>
        <w:overflowPunct/>
        <w:spacing w:line="240" w:lineRule="auto"/>
        <w:textAlignment w:val="auto"/>
        <w:rPr>
          <w:rFonts w:ascii="Arial" w:eastAsiaTheme="minorHAnsi" w:hAnsi="Arial" w:cs="Arial"/>
          <w:szCs w:val="24"/>
        </w:rPr>
      </w:pPr>
    </w:p>
    <w:p w14:paraId="60A1AF96"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The Special Conditions of Contract (SCC) complement the GCC, specifying contractual</w:t>
      </w:r>
    </w:p>
    <w:p w14:paraId="35D9F2F2"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requirements linked to the special circumstances of the Procuring Entity, the Procuring</w:t>
      </w:r>
    </w:p>
    <w:p w14:paraId="054A0582"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Entity’s country, the sector, and the Goods purchased. In preparing this Section, the</w:t>
      </w:r>
    </w:p>
    <w:p w14:paraId="03C20CAB" w14:textId="77777777" w:rsidR="0087689D" w:rsidRPr="00F8759F"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following aspects should be checked:</w:t>
      </w:r>
    </w:p>
    <w:p w14:paraId="466CB7B0" w14:textId="77777777" w:rsidR="0087689D" w:rsidRPr="00F8759F" w:rsidRDefault="0087689D" w:rsidP="0087689D">
      <w:pPr>
        <w:overflowPunct/>
        <w:spacing w:line="240" w:lineRule="auto"/>
        <w:textAlignment w:val="auto"/>
        <w:rPr>
          <w:rFonts w:ascii="Arial" w:eastAsiaTheme="minorHAnsi" w:hAnsi="Arial" w:cs="Arial"/>
          <w:szCs w:val="24"/>
        </w:rPr>
      </w:pPr>
    </w:p>
    <w:p w14:paraId="53CFC449" w14:textId="77777777" w:rsidR="0087689D" w:rsidRPr="00F8759F" w:rsidRDefault="0087689D" w:rsidP="0087689D">
      <w:pPr>
        <w:pStyle w:val="ListParagraph"/>
        <w:numPr>
          <w:ilvl w:val="0"/>
          <w:numId w:val="11"/>
        </w:numPr>
        <w:overflowPunct/>
        <w:spacing w:line="240" w:lineRule="auto"/>
        <w:textAlignment w:val="auto"/>
        <w:rPr>
          <w:rFonts w:ascii="Arial" w:eastAsiaTheme="minorHAnsi" w:hAnsi="Arial" w:cs="Arial"/>
          <w:szCs w:val="24"/>
        </w:rPr>
      </w:pPr>
      <w:r w:rsidRPr="00F8759F">
        <w:rPr>
          <w:rFonts w:ascii="Arial" w:eastAsiaTheme="minorHAnsi" w:hAnsi="Arial" w:cs="Arial"/>
          <w:szCs w:val="24"/>
        </w:rPr>
        <w:t>Information that complements provisions of the GCC must be incorporated.</w:t>
      </w:r>
    </w:p>
    <w:p w14:paraId="64AA0D31" w14:textId="77777777" w:rsidR="0087689D" w:rsidRPr="00F8759F" w:rsidRDefault="0087689D" w:rsidP="0087689D">
      <w:pPr>
        <w:pStyle w:val="ListParagraph"/>
        <w:numPr>
          <w:ilvl w:val="0"/>
          <w:numId w:val="11"/>
        </w:numPr>
        <w:overflowPunct/>
        <w:spacing w:line="240" w:lineRule="auto"/>
        <w:textAlignment w:val="auto"/>
        <w:rPr>
          <w:rFonts w:ascii="Arial" w:eastAsiaTheme="minorHAnsi" w:hAnsi="Arial" w:cs="Arial"/>
          <w:szCs w:val="24"/>
        </w:rPr>
      </w:pPr>
      <w:r w:rsidRPr="00F8759F">
        <w:rPr>
          <w:rFonts w:ascii="Arial" w:eastAsiaTheme="minorHAnsi" w:hAnsi="Arial" w:cs="Arial"/>
          <w:szCs w:val="24"/>
        </w:rPr>
        <w:t>Amendments and/or supplements to provisions of the GCC as necessitated by the circumstances of the specific purchase, must also be incorporated.</w:t>
      </w:r>
    </w:p>
    <w:p w14:paraId="6AC9077C" w14:textId="77777777" w:rsidR="0087689D" w:rsidRPr="00F8759F" w:rsidRDefault="0087689D" w:rsidP="0087689D">
      <w:pPr>
        <w:overflowPunct/>
        <w:spacing w:line="240" w:lineRule="auto"/>
        <w:textAlignment w:val="auto"/>
        <w:rPr>
          <w:rFonts w:ascii="Arial" w:eastAsiaTheme="minorHAnsi" w:hAnsi="Arial" w:cs="Arial"/>
          <w:szCs w:val="24"/>
        </w:rPr>
      </w:pPr>
    </w:p>
    <w:p w14:paraId="1F111B9F" w14:textId="0D2598CF" w:rsidR="0087689D" w:rsidRDefault="0087689D" w:rsidP="0087689D">
      <w:pPr>
        <w:overflowPunct/>
        <w:spacing w:line="240" w:lineRule="auto"/>
        <w:textAlignment w:val="auto"/>
        <w:rPr>
          <w:rFonts w:ascii="Arial" w:eastAsiaTheme="minorHAnsi" w:hAnsi="Arial" w:cs="Arial"/>
          <w:szCs w:val="24"/>
        </w:rPr>
      </w:pPr>
      <w:r w:rsidRPr="00F8759F">
        <w:rPr>
          <w:rFonts w:ascii="Arial" w:eastAsiaTheme="minorHAnsi" w:hAnsi="Arial" w:cs="Arial"/>
          <w:szCs w:val="24"/>
        </w:rPr>
        <w:t>However, no special condition which defeats or negates the general intent and purpose of the provisions of the GCC should be incorporated herein.</w:t>
      </w:r>
    </w:p>
    <w:p w14:paraId="7D3AED31" w14:textId="77777777" w:rsidR="006D0300" w:rsidRPr="00F8759F" w:rsidRDefault="006D0300" w:rsidP="0087689D">
      <w:pPr>
        <w:overflowPunct/>
        <w:spacing w:line="240" w:lineRule="auto"/>
        <w:textAlignment w:val="auto"/>
        <w:rPr>
          <w:rFonts w:ascii="Arial" w:eastAsiaTheme="minorHAnsi" w:hAnsi="Arial" w:cs="Arial"/>
          <w:szCs w:val="24"/>
        </w:rPr>
      </w:pPr>
    </w:p>
    <w:p w14:paraId="6E5D6EBD" w14:textId="77777777" w:rsidR="0087689D" w:rsidRPr="000F78CF" w:rsidRDefault="0087689D" w:rsidP="0087689D">
      <w:pPr>
        <w:pStyle w:val="Heading1"/>
        <w:rPr>
          <w:rFonts w:ascii="Arial" w:hAnsi="Arial" w:cs="Arial"/>
          <w:b/>
          <w:bCs/>
          <w:color w:val="auto"/>
        </w:rPr>
      </w:pPr>
      <w:r w:rsidRPr="000F78CF">
        <w:rPr>
          <w:rFonts w:ascii="Arial" w:hAnsi="Arial" w:cs="Arial"/>
          <w:b/>
          <w:bCs/>
          <w:color w:val="auto"/>
        </w:rPr>
        <w:t>Section V. Special Conditions of Contract</w:t>
      </w:r>
    </w:p>
    <w:p w14:paraId="116E298C" w14:textId="77777777" w:rsidR="0087689D" w:rsidRPr="00F8759F" w:rsidRDefault="0087689D" w:rsidP="0087689D">
      <w:pPr>
        <w:rPr>
          <w:rFonts w:ascii="Arial" w:hAnsi="Arial" w:cs="Arial"/>
        </w:rPr>
      </w:pPr>
    </w:p>
    <w:tbl>
      <w:tblPr>
        <w:tblStyle w:val="TableGrid"/>
        <w:tblW w:w="9030" w:type="dxa"/>
        <w:tblLook w:val="04A0" w:firstRow="1" w:lastRow="0" w:firstColumn="1" w:lastColumn="0" w:noHBand="0" w:noVBand="1"/>
      </w:tblPr>
      <w:tblGrid>
        <w:gridCol w:w="1241"/>
        <w:gridCol w:w="7789"/>
      </w:tblGrid>
      <w:tr w:rsidR="0087689D" w:rsidRPr="00F8759F" w14:paraId="4C13C50D" w14:textId="77777777" w:rsidTr="000F78CF">
        <w:tc>
          <w:tcPr>
            <w:tcW w:w="1241" w:type="dxa"/>
          </w:tcPr>
          <w:p w14:paraId="4A3C8E17" w14:textId="77777777" w:rsidR="0087689D" w:rsidRPr="00F8759F" w:rsidRDefault="0087689D" w:rsidP="00213065">
            <w:pPr>
              <w:jc w:val="center"/>
              <w:rPr>
                <w:rFonts w:ascii="Arial" w:hAnsi="Arial" w:cs="Arial"/>
                <w:b/>
                <w:bCs/>
                <w:szCs w:val="24"/>
              </w:rPr>
            </w:pPr>
            <w:r w:rsidRPr="00F8759F">
              <w:rPr>
                <w:rFonts w:ascii="Arial" w:hAnsi="Arial" w:cs="Arial"/>
                <w:b/>
                <w:bCs/>
                <w:szCs w:val="24"/>
              </w:rPr>
              <w:t>GCC Clause</w:t>
            </w:r>
          </w:p>
        </w:tc>
        <w:tc>
          <w:tcPr>
            <w:tcW w:w="7789" w:type="dxa"/>
          </w:tcPr>
          <w:p w14:paraId="1023E4F8" w14:textId="77777777" w:rsidR="0087689D" w:rsidRPr="00F8759F" w:rsidRDefault="0087689D" w:rsidP="00213065">
            <w:pPr>
              <w:rPr>
                <w:rFonts w:ascii="Arial" w:hAnsi="Arial" w:cs="Arial"/>
                <w:szCs w:val="24"/>
              </w:rPr>
            </w:pPr>
          </w:p>
        </w:tc>
      </w:tr>
      <w:tr w:rsidR="0087689D" w:rsidRPr="00F8759F" w14:paraId="13171AF1" w14:textId="77777777" w:rsidTr="000F78CF">
        <w:tc>
          <w:tcPr>
            <w:tcW w:w="1241" w:type="dxa"/>
          </w:tcPr>
          <w:p w14:paraId="2D7B5E16" w14:textId="75A88A26" w:rsidR="0087689D" w:rsidRPr="00F8759F" w:rsidRDefault="0087689D" w:rsidP="00213065">
            <w:pPr>
              <w:jc w:val="center"/>
              <w:rPr>
                <w:rFonts w:ascii="Arial" w:hAnsi="Arial" w:cs="Arial"/>
                <w:szCs w:val="24"/>
              </w:rPr>
            </w:pPr>
            <w:r w:rsidRPr="00F8759F">
              <w:rPr>
                <w:rFonts w:ascii="Arial" w:hAnsi="Arial" w:cs="Arial"/>
                <w:szCs w:val="24"/>
              </w:rPr>
              <w:t>1</w:t>
            </w:r>
            <w:r w:rsidR="00F939E7">
              <w:rPr>
                <w:rFonts w:ascii="Arial" w:hAnsi="Arial" w:cs="Arial"/>
                <w:szCs w:val="24"/>
              </w:rPr>
              <w:t>.</w:t>
            </w:r>
          </w:p>
        </w:tc>
        <w:tc>
          <w:tcPr>
            <w:tcW w:w="7789" w:type="dxa"/>
          </w:tcPr>
          <w:p w14:paraId="70D54E14" w14:textId="77777777" w:rsidR="0087689D" w:rsidRPr="00F8759F" w:rsidRDefault="0087689D" w:rsidP="00213065">
            <w:pPr>
              <w:pStyle w:val="TableParagraph"/>
              <w:jc w:val="both"/>
              <w:rPr>
                <w:rFonts w:ascii="Arial" w:hAnsi="Arial" w:cs="Arial"/>
                <w:b/>
                <w:sz w:val="24"/>
                <w:szCs w:val="24"/>
              </w:rPr>
            </w:pPr>
            <w:r w:rsidRPr="00F8759F">
              <w:rPr>
                <w:rFonts w:ascii="Arial" w:hAnsi="Arial" w:cs="Arial"/>
                <w:b/>
                <w:sz w:val="24"/>
                <w:szCs w:val="24"/>
              </w:rPr>
              <w:t>Delivery and Documents</w:t>
            </w:r>
            <w:r w:rsidRPr="00F8759F">
              <w:rPr>
                <w:rFonts w:ascii="Arial" w:hAnsi="Arial" w:cs="Arial"/>
                <w:b/>
                <w:spacing w:val="-6"/>
                <w:sz w:val="24"/>
                <w:szCs w:val="24"/>
              </w:rPr>
              <w:t xml:space="preserve"> </w:t>
            </w:r>
            <w:r w:rsidRPr="00F8759F">
              <w:rPr>
                <w:rFonts w:ascii="Arial" w:hAnsi="Arial" w:cs="Arial"/>
                <w:b/>
                <w:sz w:val="24"/>
                <w:szCs w:val="24"/>
              </w:rPr>
              <w:t>–</w:t>
            </w:r>
          </w:p>
          <w:p w14:paraId="4221382C" w14:textId="77777777" w:rsidR="0087689D" w:rsidRPr="00F8759F" w:rsidRDefault="0087689D" w:rsidP="00213065">
            <w:pPr>
              <w:pStyle w:val="TableParagraph"/>
              <w:spacing w:before="6"/>
              <w:jc w:val="both"/>
              <w:rPr>
                <w:rFonts w:ascii="Arial" w:hAnsi="Arial" w:cs="Arial"/>
                <w:b/>
                <w:sz w:val="24"/>
                <w:szCs w:val="24"/>
              </w:rPr>
            </w:pPr>
          </w:p>
          <w:p w14:paraId="0F74C0D6" w14:textId="77777777" w:rsidR="0087689D" w:rsidRPr="00F8759F" w:rsidRDefault="0087689D" w:rsidP="00213065">
            <w:pPr>
              <w:pStyle w:val="TableParagraph"/>
              <w:spacing w:before="1"/>
              <w:ind w:left="115" w:right="100"/>
              <w:jc w:val="both"/>
              <w:rPr>
                <w:rFonts w:ascii="Arial" w:hAnsi="Arial" w:cs="Arial"/>
                <w:sz w:val="24"/>
                <w:szCs w:val="24"/>
              </w:rPr>
            </w:pPr>
            <w:r w:rsidRPr="00F8759F">
              <w:rPr>
                <w:rFonts w:ascii="Arial" w:hAnsi="Arial" w:cs="Arial"/>
                <w:sz w:val="24"/>
                <w:szCs w:val="24"/>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w:t>
            </w:r>
            <w:r w:rsidRPr="00F8759F">
              <w:rPr>
                <w:rFonts w:ascii="Arial" w:hAnsi="Arial" w:cs="Arial"/>
                <w:spacing w:val="-2"/>
                <w:sz w:val="24"/>
                <w:szCs w:val="24"/>
              </w:rPr>
              <w:t xml:space="preserve"> </w:t>
            </w:r>
            <w:r w:rsidRPr="00F8759F">
              <w:rPr>
                <w:rFonts w:ascii="Arial" w:hAnsi="Arial" w:cs="Arial"/>
                <w:sz w:val="24"/>
                <w:szCs w:val="24"/>
              </w:rPr>
              <w:t>follows:</w:t>
            </w:r>
          </w:p>
          <w:p w14:paraId="0D1684D9" w14:textId="77777777" w:rsidR="0087689D" w:rsidRPr="00F8759F" w:rsidRDefault="0087689D" w:rsidP="00213065">
            <w:pPr>
              <w:pStyle w:val="TableParagraph"/>
              <w:jc w:val="both"/>
              <w:rPr>
                <w:rFonts w:ascii="Arial" w:hAnsi="Arial" w:cs="Arial"/>
                <w:b/>
                <w:sz w:val="24"/>
                <w:szCs w:val="24"/>
              </w:rPr>
            </w:pPr>
          </w:p>
          <w:p w14:paraId="33F327AA" w14:textId="0ED1D15F" w:rsidR="0087689D" w:rsidRPr="00F8759F" w:rsidRDefault="0087689D" w:rsidP="00213065">
            <w:pPr>
              <w:pStyle w:val="TableParagraph"/>
              <w:ind w:left="115" w:right="105"/>
              <w:jc w:val="both"/>
              <w:rPr>
                <w:rFonts w:ascii="Arial" w:hAnsi="Arial" w:cs="Arial"/>
                <w:sz w:val="24"/>
                <w:szCs w:val="24"/>
              </w:rPr>
            </w:pPr>
            <w:r w:rsidRPr="00F8759F">
              <w:rPr>
                <w:rFonts w:ascii="Arial" w:hAnsi="Arial" w:cs="Arial"/>
                <w:i/>
                <w:sz w:val="24"/>
                <w:szCs w:val="24"/>
              </w:rPr>
              <w:t xml:space="preserve">[For Goods supplied from abroad, state:] </w:t>
            </w:r>
            <w:r w:rsidRPr="00F8759F">
              <w:rPr>
                <w:rFonts w:ascii="Arial" w:hAnsi="Arial" w:cs="Arial"/>
                <w:sz w:val="24"/>
                <w:szCs w:val="24"/>
              </w:rPr>
              <w:t xml:space="preserve">“The delivery terms applicable to the Contract are DDP delivered </w:t>
            </w:r>
            <w:r w:rsidRPr="00B155DC">
              <w:rPr>
                <w:rFonts w:ascii="Arial" w:hAnsi="Arial" w:cs="Arial"/>
                <w:sz w:val="24"/>
                <w:szCs w:val="24"/>
              </w:rPr>
              <w:t>Project Site</w:t>
            </w:r>
            <w:r w:rsidRPr="00F8759F">
              <w:rPr>
                <w:rFonts w:ascii="Arial" w:hAnsi="Arial" w:cs="Arial"/>
                <w:sz w:val="24"/>
                <w:szCs w:val="24"/>
              </w:rPr>
              <w:t>. In accordance with INCOTERMS.”</w:t>
            </w:r>
          </w:p>
          <w:p w14:paraId="12456C64" w14:textId="77777777" w:rsidR="0087689D" w:rsidRPr="00F8759F" w:rsidRDefault="0087689D" w:rsidP="00213065">
            <w:pPr>
              <w:pStyle w:val="TableParagraph"/>
              <w:jc w:val="both"/>
              <w:rPr>
                <w:rFonts w:ascii="Arial" w:hAnsi="Arial" w:cs="Arial"/>
                <w:b/>
                <w:sz w:val="24"/>
                <w:szCs w:val="24"/>
              </w:rPr>
            </w:pPr>
          </w:p>
          <w:p w14:paraId="0C5C04AF" w14:textId="70E15048" w:rsidR="0087689D" w:rsidRPr="00F8759F" w:rsidRDefault="0087689D" w:rsidP="00213065">
            <w:pPr>
              <w:pStyle w:val="TableParagraph"/>
              <w:ind w:left="115" w:right="101"/>
              <w:jc w:val="both"/>
              <w:rPr>
                <w:rFonts w:ascii="Arial" w:hAnsi="Arial" w:cs="Arial"/>
                <w:sz w:val="24"/>
                <w:szCs w:val="24"/>
              </w:rPr>
            </w:pPr>
            <w:r w:rsidRPr="00F8759F">
              <w:rPr>
                <w:rFonts w:ascii="Arial" w:hAnsi="Arial" w:cs="Arial"/>
                <w:i/>
                <w:sz w:val="24"/>
                <w:szCs w:val="24"/>
              </w:rPr>
              <w:t>[For Goods supplied from within the Philippines, state:</w:t>
            </w:r>
            <w:r w:rsidRPr="00F8759F">
              <w:rPr>
                <w:rFonts w:ascii="Arial" w:hAnsi="Arial" w:cs="Arial"/>
                <w:sz w:val="24"/>
                <w:szCs w:val="24"/>
              </w:rPr>
              <w:t xml:space="preserve">] “The delivery terms applicable to this Contract are delivered </w:t>
            </w:r>
            <w:r w:rsidRPr="000F78CF">
              <w:rPr>
                <w:rFonts w:ascii="Arial" w:hAnsi="Arial" w:cs="Arial"/>
                <w:sz w:val="24"/>
                <w:szCs w:val="24"/>
              </w:rPr>
              <w:t>Project Site</w:t>
            </w:r>
            <w:r w:rsidRPr="00F8759F">
              <w:rPr>
                <w:rFonts w:ascii="Arial" w:hAnsi="Arial" w:cs="Arial"/>
                <w:i/>
                <w:sz w:val="24"/>
                <w:szCs w:val="24"/>
              </w:rPr>
              <w:t xml:space="preserve">. </w:t>
            </w:r>
            <w:r w:rsidRPr="00F8759F">
              <w:rPr>
                <w:rFonts w:ascii="Arial" w:hAnsi="Arial" w:cs="Arial"/>
                <w:sz w:val="24"/>
                <w:szCs w:val="24"/>
              </w:rPr>
              <w:t>Risk and title will pass from the Supplier to the Procuring Entity upon receipt and final acceptance of the Goods at their final</w:t>
            </w:r>
            <w:r w:rsidRPr="00F8759F">
              <w:rPr>
                <w:rFonts w:ascii="Arial" w:hAnsi="Arial" w:cs="Arial"/>
                <w:spacing w:val="-5"/>
                <w:sz w:val="24"/>
                <w:szCs w:val="24"/>
              </w:rPr>
              <w:t xml:space="preserve"> </w:t>
            </w:r>
            <w:r w:rsidRPr="00F8759F">
              <w:rPr>
                <w:rFonts w:ascii="Arial" w:hAnsi="Arial" w:cs="Arial"/>
                <w:sz w:val="24"/>
                <w:szCs w:val="24"/>
              </w:rPr>
              <w:t>destination.”</w:t>
            </w:r>
          </w:p>
          <w:p w14:paraId="412C6492" w14:textId="77777777" w:rsidR="0087689D" w:rsidRPr="00F8759F" w:rsidRDefault="0087689D" w:rsidP="00213065">
            <w:pPr>
              <w:pStyle w:val="TableParagraph"/>
              <w:spacing w:before="1"/>
              <w:jc w:val="both"/>
              <w:rPr>
                <w:rFonts w:ascii="Arial" w:hAnsi="Arial" w:cs="Arial"/>
                <w:b/>
                <w:sz w:val="24"/>
                <w:szCs w:val="24"/>
              </w:rPr>
            </w:pPr>
          </w:p>
          <w:p w14:paraId="5F1B1B51" w14:textId="77777777" w:rsidR="0087689D" w:rsidRPr="00F8759F" w:rsidRDefault="0087689D" w:rsidP="00213065">
            <w:pPr>
              <w:pStyle w:val="TableParagraph"/>
              <w:ind w:left="115" w:right="110"/>
              <w:jc w:val="both"/>
              <w:rPr>
                <w:rFonts w:ascii="Arial" w:hAnsi="Arial" w:cs="Arial"/>
                <w:sz w:val="24"/>
                <w:szCs w:val="24"/>
              </w:rPr>
            </w:pPr>
            <w:r w:rsidRPr="00F8759F">
              <w:rPr>
                <w:rFonts w:ascii="Arial" w:hAnsi="Arial" w:cs="Arial"/>
                <w:sz w:val="24"/>
                <w:szCs w:val="24"/>
              </w:rPr>
              <w:t>Delivery of the Goods shall be made by the Supplier in accordance with the terms specified in Section VI (Schedule of Requirements).</w:t>
            </w:r>
          </w:p>
          <w:p w14:paraId="2DF3C9F2" w14:textId="77777777" w:rsidR="0087689D" w:rsidRPr="00F8759F" w:rsidRDefault="0087689D" w:rsidP="00213065">
            <w:pPr>
              <w:pStyle w:val="TableParagraph"/>
              <w:spacing w:before="4"/>
              <w:jc w:val="both"/>
              <w:rPr>
                <w:rFonts w:ascii="Arial" w:hAnsi="Arial" w:cs="Arial"/>
                <w:b/>
                <w:sz w:val="24"/>
                <w:szCs w:val="24"/>
              </w:rPr>
            </w:pPr>
          </w:p>
          <w:p w14:paraId="7C970261" w14:textId="49FB5861" w:rsidR="0087689D" w:rsidRPr="000F78CF" w:rsidRDefault="0087689D" w:rsidP="00213065">
            <w:pPr>
              <w:rPr>
                <w:rFonts w:ascii="Arial" w:hAnsi="Arial" w:cs="Arial"/>
                <w:szCs w:val="24"/>
              </w:rPr>
            </w:pPr>
            <w:r w:rsidRPr="000F78CF">
              <w:rPr>
                <w:rFonts w:ascii="Arial" w:hAnsi="Arial" w:cs="Arial"/>
                <w:szCs w:val="24"/>
              </w:rPr>
              <w:lastRenderedPageBreak/>
              <w:t>For purposes of this Clause the Procuring Entity’s Representative at the Project Site is:</w:t>
            </w:r>
          </w:p>
          <w:p w14:paraId="48434FA7" w14:textId="77777777" w:rsidR="0087689D" w:rsidRPr="00F8759F" w:rsidRDefault="0087689D" w:rsidP="00213065">
            <w:pPr>
              <w:rPr>
                <w:rFonts w:ascii="Arial" w:hAnsi="Arial" w:cs="Arial"/>
                <w:szCs w:val="24"/>
              </w:rPr>
            </w:pPr>
          </w:p>
          <w:p w14:paraId="5953A2CB" w14:textId="77777777" w:rsidR="0087689D" w:rsidRPr="00F8759F" w:rsidRDefault="0087689D" w:rsidP="00213065">
            <w:pPr>
              <w:rPr>
                <w:rFonts w:ascii="Arial" w:hAnsi="Arial" w:cs="Arial"/>
                <w:b/>
                <w:spacing w:val="-2"/>
                <w:szCs w:val="24"/>
                <w:lang w:val="en-PH"/>
              </w:rPr>
            </w:pPr>
            <w:r w:rsidRPr="00F8759F">
              <w:rPr>
                <w:rFonts w:ascii="Arial" w:hAnsi="Arial" w:cs="Arial"/>
                <w:b/>
                <w:spacing w:val="-2"/>
                <w:szCs w:val="24"/>
                <w:lang w:val="en-PH"/>
              </w:rPr>
              <w:t>Commercial Attache, Charmaine Mignon S. Yalong</w:t>
            </w:r>
          </w:p>
          <w:p w14:paraId="78991983" w14:textId="77777777" w:rsidR="0087689D" w:rsidRPr="00F8759F" w:rsidRDefault="0087689D" w:rsidP="00213065">
            <w:pPr>
              <w:rPr>
                <w:rFonts w:ascii="Arial" w:hAnsi="Arial" w:cs="Arial"/>
                <w:spacing w:val="-2"/>
                <w:szCs w:val="24"/>
                <w:lang w:val="fil"/>
              </w:rPr>
            </w:pPr>
            <w:r w:rsidRPr="00F8759F">
              <w:rPr>
                <w:rFonts w:ascii="Arial" w:hAnsi="Arial" w:cs="Arial"/>
                <w:spacing w:val="-2"/>
                <w:szCs w:val="24"/>
                <w:lang w:val="en-PH"/>
              </w:rPr>
              <w:t>Philippine Trade and Investment Center (PTIC</w:t>
            </w:r>
            <w:r w:rsidRPr="00F8759F">
              <w:rPr>
                <w:rFonts w:ascii="Arial" w:hAnsi="Arial" w:cs="Arial"/>
                <w:spacing w:val="-2"/>
                <w:szCs w:val="24"/>
                <w:lang w:val="fil"/>
              </w:rPr>
              <w:t>)</w:t>
            </w:r>
          </w:p>
          <w:p w14:paraId="2474B9A4" w14:textId="77777777" w:rsidR="0087689D" w:rsidRPr="00F8759F" w:rsidRDefault="0087689D" w:rsidP="00213065">
            <w:pPr>
              <w:rPr>
                <w:rFonts w:ascii="Arial" w:hAnsi="Arial" w:cs="Arial"/>
                <w:spacing w:val="-2"/>
                <w:szCs w:val="24"/>
                <w:lang w:val="en-PH"/>
              </w:rPr>
            </w:pPr>
            <w:r w:rsidRPr="00F8759F">
              <w:rPr>
                <w:rFonts w:ascii="Arial" w:hAnsi="Arial" w:cs="Arial"/>
                <w:spacing w:val="-2"/>
                <w:szCs w:val="24"/>
                <w:lang w:val="en-PH"/>
              </w:rPr>
              <w:t>Room 3712, 37</w:t>
            </w:r>
            <w:r w:rsidRPr="00F8759F">
              <w:rPr>
                <w:rFonts w:ascii="Arial" w:hAnsi="Arial" w:cs="Arial"/>
                <w:spacing w:val="-2"/>
                <w:szCs w:val="24"/>
                <w:vertAlign w:val="superscript"/>
                <w:lang w:val="en-PH"/>
              </w:rPr>
              <w:t>th</w:t>
            </w:r>
            <w:r w:rsidRPr="00F8759F">
              <w:rPr>
                <w:rFonts w:ascii="Arial" w:hAnsi="Arial" w:cs="Arial"/>
                <w:spacing w:val="-2"/>
                <w:szCs w:val="24"/>
                <w:lang w:val="en-PH"/>
              </w:rPr>
              <w:t xml:space="preserve"> Floor, Churchill Executive Towers</w:t>
            </w:r>
          </w:p>
          <w:p w14:paraId="2D029694" w14:textId="77777777" w:rsidR="0087689D" w:rsidRPr="00F8759F" w:rsidRDefault="0087689D" w:rsidP="00213065">
            <w:pPr>
              <w:rPr>
                <w:rFonts w:ascii="Arial" w:hAnsi="Arial" w:cs="Arial"/>
                <w:spacing w:val="-2"/>
                <w:szCs w:val="24"/>
                <w:lang w:val="en-PH"/>
              </w:rPr>
            </w:pPr>
            <w:r w:rsidRPr="00F8759F">
              <w:rPr>
                <w:rFonts w:ascii="Arial" w:hAnsi="Arial" w:cs="Arial"/>
                <w:spacing w:val="-2"/>
                <w:szCs w:val="24"/>
                <w:lang w:val="en-PH"/>
              </w:rPr>
              <w:t>Business Bay, Dubai, UAE/P.O. Box 14066</w:t>
            </w:r>
          </w:p>
          <w:p w14:paraId="575788FA" w14:textId="77777777" w:rsidR="0087689D" w:rsidRPr="00F8759F" w:rsidRDefault="0087689D" w:rsidP="00213065">
            <w:pPr>
              <w:rPr>
                <w:rFonts w:ascii="Arial" w:hAnsi="Arial" w:cs="Arial"/>
                <w:spacing w:val="-2"/>
                <w:szCs w:val="24"/>
                <w:lang w:val="en-PH"/>
              </w:rPr>
            </w:pPr>
            <w:r w:rsidRPr="00F8759F">
              <w:rPr>
                <w:rFonts w:ascii="Arial" w:hAnsi="Arial" w:cs="Arial"/>
                <w:spacing w:val="-2"/>
                <w:szCs w:val="24"/>
                <w:lang w:val="en-PH"/>
              </w:rPr>
              <w:t xml:space="preserve">Email: </w:t>
            </w:r>
            <w:hyperlink r:id="rId7" w:history="1">
              <w:r w:rsidRPr="00F8759F">
                <w:rPr>
                  <w:rFonts w:ascii="Arial" w:hAnsi="Arial" w:cs="Arial"/>
                  <w:color w:val="8496B0" w:themeColor="text2" w:themeTint="99"/>
                  <w:spacing w:val="-2"/>
                  <w:szCs w:val="24"/>
                  <w:u w:val="single"/>
                  <w:lang w:val="en-PH"/>
                </w:rPr>
                <w:t>charmainemignonyalong@dti.gov.ph</w:t>
              </w:r>
            </w:hyperlink>
            <w:r w:rsidRPr="00F8759F">
              <w:rPr>
                <w:rFonts w:ascii="Arial" w:hAnsi="Arial" w:cs="Arial"/>
                <w:color w:val="8496B0" w:themeColor="text2" w:themeTint="99"/>
                <w:spacing w:val="-2"/>
                <w:szCs w:val="24"/>
                <w:lang w:val="en-PH"/>
              </w:rPr>
              <w:t xml:space="preserve">; </w:t>
            </w:r>
            <w:hyperlink r:id="rId8" w:history="1">
              <w:r w:rsidRPr="00F8759F">
                <w:rPr>
                  <w:rFonts w:ascii="Arial" w:hAnsi="Arial" w:cs="Arial"/>
                  <w:color w:val="8496B0" w:themeColor="text2" w:themeTint="99"/>
                  <w:spacing w:val="-2"/>
                  <w:szCs w:val="24"/>
                  <w:u w:val="single"/>
                  <w:lang w:val="en-PH"/>
                </w:rPr>
                <w:t>dubai@dti.gov.ph</w:t>
              </w:r>
            </w:hyperlink>
          </w:p>
          <w:p w14:paraId="542EB729" w14:textId="77777777" w:rsidR="0087689D" w:rsidRPr="00F8759F" w:rsidRDefault="0087689D" w:rsidP="00213065">
            <w:pPr>
              <w:rPr>
                <w:rFonts w:ascii="Arial" w:hAnsi="Arial" w:cs="Arial"/>
                <w:spacing w:val="-2"/>
                <w:szCs w:val="24"/>
                <w:lang w:val="en-PH"/>
              </w:rPr>
            </w:pPr>
            <w:r w:rsidRPr="00F8759F">
              <w:rPr>
                <w:rFonts w:ascii="Arial" w:hAnsi="Arial" w:cs="Arial"/>
                <w:spacing w:val="-2"/>
                <w:szCs w:val="24"/>
                <w:lang w:val="en-PH"/>
              </w:rPr>
              <w:t>Phone: +971-4-450-4252/ Mobile: +971-4-450-4232</w:t>
            </w:r>
          </w:p>
          <w:p w14:paraId="1F357FA8" w14:textId="77777777" w:rsidR="0087689D" w:rsidRPr="00F8759F" w:rsidRDefault="003947D5" w:rsidP="00213065">
            <w:pPr>
              <w:rPr>
                <w:rFonts w:ascii="Arial" w:hAnsi="Arial" w:cs="Arial"/>
                <w:spacing w:val="-2"/>
                <w:szCs w:val="24"/>
                <w:lang w:val="en-PH"/>
              </w:rPr>
            </w:pPr>
            <w:hyperlink r:id="rId9" w:history="1">
              <w:r w:rsidR="0087689D" w:rsidRPr="00F8759F">
                <w:rPr>
                  <w:rStyle w:val="Hyperlink"/>
                  <w:rFonts w:ascii="Arial" w:hAnsi="Arial" w:cs="Arial"/>
                  <w:spacing w:val="-2"/>
                  <w:szCs w:val="24"/>
                  <w:lang w:val="en-PH"/>
                </w:rPr>
                <w:t>www.dti.gov.ph</w:t>
              </w:r>
            </w:hyperlink>
          </w:p>
          <w:p w14:paraId="58AF9AD8" w14:textId="77777777" w:rsidR="0087689D" w:rsidRPr="00F8759F" w:rsidRDefault="0087689D" w:rsidP="00213065">
            <w:pPr>
              <w:rPr>
                <w:rFonts w:ascii="Arial" w:hAnsi="Arial" w:cs="Arial"/>
                <w:spacing w:val="-2"/>
                <w:szCs w:val="24"/>
                <w:lang w:val="en-PH"/>
              </w:rPr>
            </w:pPr>
          </w:p>
          <w:p w14:paraId="63D43C4A" w14:textId="77777777" w:rsidR="0087689D" w:rsidRPr="00F8759F" w:rsidRDefault="0087689D" w:rsidP="00213065">
            <w:pPr>
              <w:pStyle w:val="TableParagraph"/>
              <w:spacing w:line="273" w:lineRule="exact"/>
              <w:jc w:val="both"/>
              <w:rPr>
                <w:rFonts w:ascii="Arial" w:hAnsi="Arial" w:cs="Arial"/>
                <w:b/>
                <w:sz w:val="24"/>
                <w:szCs w:val="24"/>
              </w:rPr>
            </w:pPr>
            <w:r w:rsidRPr="00F8759F">
              <w:rPr>
                <w:rFonts w:ascii="Arial" w:hAnsi="Arial" w:cs="Arial"/>
                <w:b/>
                <w:sz w:val="24"/>
                <w:szCs w:val="24"/>
              </w:rPr>
              <w:t>Packaging –</w:t>
            </w:r>
          </w:p>
          <w:p w14:paraId="6019CB55" w14:textId="77777777" w:rsidR="0087689D" w:rsidRPr="00F8759F" w:rsidRDefault="0087689D" w:rsidP="00213065">
            <w:pPr>
              <w:pStyle w:val="TableParagraph"/>
              <w:spacing w:before="6"/>
              <w:jc w:val="both"/>
              <w:rPr>
                <w:rFonts w:ascii="Arial" w:hAnsi="Arial" w:cs="Arial"/>
                <w:b/>
                <w:sz w:val="24"/>
                <w:szCs w:val="24"/>
              </w:rPr>
            </w:pPr>
          </w:p>
          <w:p w14:paraId="589A5DA9" w14:textId="77777777" w:rsidR="0087689D" w:rsidRPr="00F8759F" w:rsidRDefault="0087689D" w:rsidP="00213065">
            <w:pPr>
              <w:pStyle w:val="TableParagraph"/>
              <w:ind w:left="115" w:right="101"/>
              <w:jc w:val="both"/>
              <w:rPr>
                <w:rFonts w:ascii="Arial" w:hAnsi="Arial" w:cs="Arial"/>
                <w:sz w:val="24"/>
                <w:szCs w:val="24"/>
              </w:rPr>
            </w:pPr>
            <w:r w:rsidRPr="00F8759F">
              <w:rPr>
                <w:rFonts w:ascii="Arial" w:hAnsi="Arial" w:cs="Arial"/>
                <w:sz w:val="24"/>
                <w:szCs w:val="24"/>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3507F7CF" w14:textId="77777777" w:rsidR="0087689D" w:rsidRPr="00F8759F" w:rsidRDefault="0087689D" w:rsidP="00213065">
            <w:pPr>
              <w:pStyle w:val="TableParagraph"/>
              <w:jc w:val="both"/>
              <w:rPr>
                <w:rFonts w:ascii="Arial" w:hAnsi="Arial" w:cs="Arial"/>
                <w:b/>
                <w:sz w:val="24"/>
                <w:szCs w:val="24"/>
              </w:rPr>
            </w:pPr>
          </w:p>
          <w:p w14:paraId="0DBA8AC2" w14:textId="77777777" w:rsidR="0087689D" w:rsidRPr="00F8759F" w:rsidRDefault="0087689D" w:rsidP="00213065">
            <w:pPr>
              <w:pStyle w:val="TableParagraph"/>
              <w:spacing w:before="1"/>
              <w:ind w:left="115" w:right="104"/>
              <w:jc w:val="both"/>
              <w:rPr>
                <w:rFonts w:ascii="Arial" w:hAnsi="Arial" w:cs="Arial"/>
                <w:sz w:val="24"/>
                <w:szCs w:val="24"/>
              </w:rPr>
            </w:pPr>
            <w:r w:rsidRPr="00F8759F">
              <w:rPr>
                <w:rFonts w:ascii="Arial" w:hAnsi="Arial" w:cs="Arial"/>
                <w:sz w:val="24"/>
                <w:szCs w:val="24"/>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4869DDB0" w14:textId="77777777" w:rsidR="0087689D" w:rsidRPr="00F8759F" w:rsidRDefault="0087689D" w:rsidP="00213065">
            <w:pPr>
              <w:pStyle w:val="TableParagraph"/>
              <w:spacing w:before="1"/>
              <w:ind w:left="115" w:right="104"/>
              <w:jc w:val="both"/>
              <w:rPr>
                <w:rFonts w:ascii="Arial" w:hAnsi="Arial" w:cs="Arial"/>
                <w:sz w:val="24"/>
                <w:szCs w:val="24"/>
              </w:rPr>
            </w:pPr>
          </w:p>
          <w:p w14:paraId="206A7F08" w14:textId="77777777" w:rsidR="0087689D" w:rsidRPr="00F8759F" w:rsidRDefault="0087689D" w:rsidP="00213065">
            <w:pPr>
              <w:pStyle w:val="TableParagraph"/>
              <w:spacing w:before="1"/>
              <w:ind w:left="115" w:right="104"/>
              <w:jc w:val="both"/>
              <w:rPr>
                <w:rFonts w:ascii="Arial" w:hAnsi="Arial" w:cs="Arial"/>
                <w:sz w:val="24"/>
                <w:szCs w:val="24"/>
              </w:rPr>
            </w:pPr>
            <w:r w:rsidRPr="00F8759F">
              <w:rPr>
                <w:rFonts w:ascii="Arial" w:hAnsi="Arial" w:cs="Arial"/>
                <w:sz w:val="24"/>
                <w:szCs w:val="24"/>
              </w:rPr>
              <w:t>The outer packaging must be clearly marked on at least four (4) sides as follows:</w:t>
            </w:r>
          </w:p>
          <w:p w14:paraId="3098246F" w14:textId="77777777" w:rsidR="0087689D" w:rsidRPr="00F8759F" w:rsidRDefault="0087689D" w:rsidP="00213065">
            <w:pPr>
              <w:pStyle w:val="TableParagraph"/>
              <w:spacing w:before="1"/>
              <w:ind w:left="115" w:right="104"/>
              <w:jc w:val="both"/>
              <w:rPr>
                <w:rFonts w:ascii="Arial" w:hAnsi="Arial" w:cs="Arial"/>
                <w:sz w:val="24"/>
                <w:szCs w:val="24"/>
              </w:rPr>
            </w:pPr>
          </w:p>
          <w:p w14:paraId="57BA7796"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Name of the Procuring Entity</w:t>
            </w:r>
          </w:p>
          <w:p w14:paraId="278A975A"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Name of the Supplier</w:t>
            </w:r>
          </w:p>
          <w:p w14:paraId="0ADD13B7"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Contract Description</w:t>
            </w:r>
          </w:p>
          <w:p w14:paraId="5E4A19E9"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Final Destination</w:t>
            </w:r>
          </w:p>
          <w:p w14:paraId="5BD0F5F4"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Gross weight</w:t>
            </w:r>
          </w:p>
          <w:p w14:paraId="7A788A92"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Any special lifting instructions Any special handling instructions</w:t>
            </w:r>
          </w:p>
          <w:p w14:paraId="7D6909AF" w14:textId="77777777" w:rsidR="0087689D" w:rsidRPr="00F8759F" w:rsidRDefault="0087689D" w:rsidP="006D0300">
            <w:pPr>
              <w:pStyle w:val="TableParagraph"/>
              <w:ind w:left="115" w:right="134"/>
              <w:jc w:val="both"/>
              <w:rPr>
                <w:rFonts w:ascii="Arial" w:hAnsi="Arial" w:cs="Arial"/>
                <w:sz w:val="24"/>
                <w:szCs w:val="24"/>
              </w:rPr>
            </w:pPr>
            <w:r w:rsidRPr="00F8759F">
              <w:rPr>
                <w:rFonts w:ascii="Arial" w:hAnsi="Arial" w:cs="Arial"/>
                <w:sz w:val="24"/>
                <w:szCs w:val="24"/>
              </w:rPr>
              <w:t>Any relevant HAZCHEM classifications</w:t>
            </w:r>
          </w:p>
          <w:p w14:paraId="41A56826" w14:textId="77777777" w:rsidR="0087689D" w:rsidRPr="00F8759F" w:rsidRDefault="0087689D" w:rsidP="00213065">
            <w:pPr>
              <w:pStyle w:val="TableParagraph"/>
              <w:ind w:left="115" w:right="134"/>
              <w:jc w:val="both"/>
              <w:rPr>
                <w:rFonts w:ascii="Arial" w:hAnsi="Arial" w:cs="Arial"/>
                <w:sz w:val="24"/>
                <w:szCs w:val="24"/>
              </w:rPr>
            </w:pPr>
          </w:p>
          <w:p w14:paraId="00E1B8E9" w14:textId="4A7A69C3" w:rsidR="0087689D" w:rsidRDefault="0087689D" w:rsidP="00B155DC">
            <w:pPr>
              <w:pStyle w:val="TableParagraph"/>
              <w:ind w:left="115" w:right="108"/>
              <w:jc w:val="both"/>
              <w:rPr>
                <w:rFonts w:ascii="Arial" w:hAnsi="Arial" w:cs="Arial"/>
                <w:sz w:val="24"/>
                <w:szCs w:val="24"/>
              </w:rPr>
            </w:pPr>
            <w:r w:rsidRPr="00F8759F">
              <w:rPr>
                <w:rFonts w:ascii="Arial" w:hAnsi="Arial" w:cs="Arial"/>
                <w:sz w:val="24"/>
                <w:szCs w:val="24"/>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6E7F670F" w14:textId="77777777" w:rsidR="0087689D" w:rsidRPr="00F8759F" w:rsidRDefault="0087689D" w:rsidP="00213065">
            <w:pPr>
              <w:pStyle w:val="TableParagraph"/>
              <w:spacing w:before="1"/>
              <w:ind w:left="115" w:right="104"/>
              <w:jc w:val="both"/>
              <w:rPr>
                <w:rFonts w:ascii="Arial" w:hAnsi="Arial" w:cs="Arial"/>
                <w:sz w:val="24"/>
                <w:szCs w:val="24"/>
              </w:rPr>
            </w:pPr>
          </w:p>
          <w:p w14:paraId="28A18EEE" w14:textId="77777777" w:rsidR="0087689D" w:rsidRPr="00F8759F" w:rsidRDefault="0087689D" w:rsidP="00213065">
            <w:pPr>
              <w:pStyle w:val="TableParagraph"/>
              <w:ind w:left="115"/>
              <w:jc w:val="both"/>
              <w:rPr>
                <w:rFonts w:ascii="Arial" w:hAnsi="Arial" w:cs="Arial"/>
                <w:b/>
                <w:sz w:val="24"/>
                <w:szCs w:val="24"/>
              </w:rPr>
            </w:pPr>
            <w:r w:rsidRPr="00F8759F">
              <w:rPr>
                <w:rFonts w:ascii="Arial" w:hAnsi="Arial" w:cs="Arial"/>
                <w:b/>
                <w:sz w:val="24"/>
                <w:szCs w:val="24"/>
              </w:rPr>
              <w:t>Intellectual Property Rights –</w:t>
            </w:r>
          </w:p>
          <w:p w14:paraId="58F515CE" w14:textId="77777777" w:rsidR="0087689D" w:rsidRPr="00F8759F" w:rsidRDefault="0087689D" w:rsidP="00213065">
            <w:pPr>
              <w:pStyle w:val="TableParagraph"/>
              <w:spacing w:before="7"/>
              <w:jc w:val="both"/>
              <w:rPr>
                <w:rFonts w:ascii="Arial" w:hAnsi="Arial" w:cs="Arial"/>
                <w:b/>
                <w:sz w:val="24"/>
                <w:szCs w:val="24"/>
              </w:rPr>
            </w:pPr>
          </w:p>
          <w:p w14:paraId="6AA33AE4" w14:textId="2098163B" w:rsidR="0087689D" w:rsidRPr="00F8759F" w:rsidRDefault="0087689D" w:rsidP="006D0300">
            <w:pPr>
              <w:pStyle w:val="TableParagraph"/>
              <w:spacing w:before="1"/>
              <w:ind w:left="115" w:right="104"/>
              <w:jc w:val="both"/>
              <w:rPr>
                <w:rFonts w:ascii="Arial" w:hAnsi="Arial" w:cs="Arial"/>
                <w:sz w:val="24"/>
                <w:szCs w:val="24"/>
              </w:rPr>
            </w:pPr>
            <w:r w:rsidRPr="00F8759F">
              <w:rPr>
                <w:rFonts w:ascii="Arial" w:hAnsi="Arial" w:cs="Arial"/>
                <w:sz w:val="24"/>
                <w:szCs w:val="24"/>
              </w:rPr>
              <w:t xml:space="preserve">The Supplier shall indemnify the Procuring Entity against all third-party </w:t>
            </w:r>
            <w:r w:rsidRPr="00F8759F">
              <w:rPr>
                <w:rFonts w:ascii="Arial" w:hAnsi="Arial" w:cs="Arial"/>
                <w:sz w:val="24"/>
                <w:szCs w:val="24"/>
              </w:rPr>
              <w:lastRenderedPageBreak/>
              <w:t>claims of infringement of patent, trademark, or industrial design rights arising from use of the Goods or any part thereof.</w:t>
            </w:r>
          </w:p>
        </w:tc>
      </w:tr>
      <w:tr w:rsidR="0087689D" w:rsidRPr="00F8759F" w14:paraId="312E3919" w14:textId="77777777" w:rsidTr="000F78CF">
        <w:tc>
          <w:tcPr>
            <w:tcW w:w="1241" w:type="dxa"/>
          </w:tcPr>
          <w:p w14:paraId="7871486B" w14:textId="670CEB37" w:rsidR="0087689D" w:rsidRPr="00F8759F" w:rsidRDefault="0087689D" w:rsidP="00F939E7">
            <w:pPr>
              <w:jc w:val="center"/>
              <w:rPr>
                <w:rFonts w:ascii="Arial" w:hAnsi="Arial" w:cs="Arial"/>
                <w:szCs w:val="24"/>
              </w:rPr>
            </w:pPr>
            <w:r w:rsidRPr="00F8759F">
              <w:rPr>
                <w:rFonts w:ascii="Arial" w:hAnsi="Arial" w:cs="Arial"/>
                <w:szCs w:val="24"/>
              </w:rPr>
              <w:lastRenderedPageBreak/>
              <w:t>2</w:t>
            </w:r>
            <w:r w:rsidR="00F939E7">
              <w:rPr>
                <w:rFonts w:ascii="Arial" w:hAnsi="Arial" w:cs="Arial"/>
                <w:szCs w:val="24"/>
              </w:rPr>
              <w:t>.</w:t>
            </w:r>
          </w:p>
        </w:tc>
        <w:tc>
          <w:tcPr>
            <w:tcW w:w="7789" w:type="dxa"/>
          </w:tcPr>
          <w:p w14:paraId="2CF42BE8" w14:textId="77777777" w:rsidR="0087689D" w:rsidRPr="00F8759F" w:rsidRDefault="0087689D" w:rsidP="00213065">
            <w:pPr>
              <w:rPr>
                <w:rFonts w:ascii="Arial" w:hAnsi="Arial" w:cs="Arial"/>
                <w:szCs w:val="24"/>
              </w:rPr>
            </w:pPr>
            <w:r w:rsidRPr="00F8759F">
              <w:rPr>
                <w:rFonts w:ascii="Arial" w:hAnsi="Arial" w:cs="Arial"/>
                <w:szCs w:val="24"/>
              </w:rPr>
              <w:t>Payment shall be made promptly by the Procuring Entity, but in no case later than sixty (60) days upon completion, inspection and acceptance.</w:t>
            </w:r>
          </w:p>
          <w:p w14:paraId="2E4520A6" w14:textId="77777777" w:rsidR="0087689D" w:rsidRPr="00F8759F" w:rsidRDefault="0087689D" w:rsidP="00213065">
            <w:pPr>
              <w:rPr>
                <w:rFonts w:ascii="Arial" w:hAnsi="Arial" w:cs="Arial"/>
                <w:szCs w:val="24"/>
              </w:rPr>
            </w:pPr>
          </w:p>
          <w:p w14:paraId="2D025114" w14:textId="77777777" w:rsidR="0087689D" w:rsidRDefault="0087689D" w:rsidP="00213065">
            <w:pPr>
              <w:rPr>
                <w:rFonts w:ascii="Arial" w:hAnsi="Arial" w:cs="Arial"/>
                <w:szCs w:val="24"/>
              </w:rPr>
            </w:pPr>
            <w:r w:rsidRPr="00F8759F">
              <w:rPr>
                <w:rFonts w:ascii="Arial" w:hAnsi="Arial" w:cs="Arial"/>
                <w:szCs w:val="24"/>
              </w:rPr>
              <w:t>Payment Terms:</w:t>
            </w:r>
          </w:p>
          <w:p w14:paraId="4CED3EC3" w14:textId="77777777" w:rsidR="0087689D" w:rsidRPr="00F8759F" w:rsidRDefault="0087689D" w:rsidP="00213065">
            <w:pPr>
              <w:rPr>
                <w:rFonts w:ascii="Arial" w:hAnsi="Arial" w:cs="Arial"/>
                <w:szCs w:val="24"/>
              </w:rPr>
            </w:pPr>
          </w:p>
          <w:p w14:paraId="448D9828" w14:textId="77777777" w:rsidR="0087689D" w:rsidRPr="00F8759F" w:rsidRDefault="0087689D" w:rsidP="00213065">
            <w:pPr>
              <w:rPr>
                <w:rFonts w:ascii="Arial" w:hAnsi="Arial" w:cs="Arial"/>
                <w:bCs/>
                <w:i/>
                <w:iCs/>
                <w:szCs w:val="24"/>
              </w:rPr>
            </w:pPr>
            <w:r w:rsidRPr="00F8759F">
              <w:rPr>
                <w:rFonts w:ascii="Arial" w:hAnsi="Arial" w:cs="Arial"/>
                <w:b/>
                <w:szCs w:val="24"/>
              </w:rPr>
              <w:t>1</w:t>
            </w:r>
            <w:r w:rsidRPr="00F8759F">
              <w:rPr>
                <w:rFonts w:ascii="Arial" w:hAnsi="Arial" w:cs="Arial"/>
                <w:b/>
                <w:szCs w:val="24"/>
                <w:vertAlign w:val="superscript"/>
              </w:rPr>
              <w:t>ST</w:t>
            </w:r>
            <w:r w:rsidRPr="00F8759F">
              <w:rPr>
                <w:rFonts w:ascii="Arial" w:hAnsi="Arial" w:cs="Arial"/>
                <w:b/>
                <w:szCs w:val="24"/>
              </w:rPr>
              <w:t xml:space="preserve"> PARTIAL DELIVER </w:t>
            </w:r>
            <w:r w:rsidRPr="00F8759F">
              <w:rPr>
                <w:rFonts w:ascii="Arial" w:hAnsi="Arial" w:cs="Arial"/>
                <w:bCs/>
                <w:i/>
                <w:iCs/>
                <w:szCs w:val="24"/>
              </w:rPr>
              <w:t>(within 2020)</w:t>
            </w:r>
          </w:p>
          <w:p w14:paraId="0712FDCB" w14:textId="77777777" w:rsidR="0087689D" w:rsidRPr="00F8759F" w:rsidRDefault="0087689D" w:rsidP="00213065">
            <w:pPr>
              <w:rPr>
                <w:rFonts w:ascii="Arial" w:hAnsi="Arial" w:cs="Arial"/>
                <w:b/>
                <w:szCs w:val="24"/>
              </w:rPr>
            </w:pPr>
            <w:r w:rsidRPr="00F8759F">
              <w:rPr>
                <w:rFonts w:ascii="Arial" w:hAnsi="Arial" w:cs="Arial"/>
                <w:bCs/>
                <w:szCs w:val="24"/>
              </w:rPr>
              <w:t>Processing of payment upon submission of accomplishment report and list of items initially delivered on site. Ensure that the 5% bank guarantee is already submitted, as warranty for defects.</w:t>
            </w:r>
          </w:p>
          <w:p w14:paraId="7E9EFE41" w14:textId="77777777" w:rsidR="0087689D" w:rsidRPr="00F8759F" w:rsidRDefault="0087689D" w:rsidP="00213065">
            <w:pPr>
              <w:rPr>
                <w:rFonts w:ascii="Arial" w:hAnsi="Arial" w:cs="Arial"/>
                <w:szCs w:val="24"/>
              </w:rPr>
            </w:pPr>
          </w:p>
          <w:p w14:paraId="348CF595" w14:textId="77777777" w:rsidR="0087689D" w:rsidRPr="00F8759F" w:rsidRDefault="0087689D" w:rsidP="00213065">
            <w:pPr>
              <w:rPr>
                <w:rFonts w:ascii="Arial" w:hAnsi="Arial" w:cs="Arial"/>
                <w:bCs/>
                <w:szCs w:val="24"/>
              </w:rPr>
            </w:pPr>
            <w:r w:rsidRPr="00F8759F">
              <w:rPr>
                <w:rFonts w:ascii="Arial" w:hAnsi="Arial" w:cs="Arial"/>
                <w:b/>
                <w:szCs w:val="24"/>
              </w:rPr>
              <w:t>2</w:t>
            </w:r>
            <w:r w:rsidRPr="00F8759F">
              <w:rPr>
                <w:rFonts w:ascii="Arial" w:hAnsi="Arial" w:cs="Arial"/>
                <w:b/>
                <w:szCs w:val="24"/>
                <w:vertAlign w:val="superscript"/>
              </w:rPr>
              <w:t>nd</w:t>
            </w:r>
            <w:r w:rsidRPr="00F8759F">
              <w:rPr>
                <w:rFonts w:ascii="Arial" w:hAnsi="Arial" w:cs="Arial"/>
                <w:b/>
                <w:szCs w:val="24"/>
              </w:rPr>
              <w:t xml:space="preserve"> (FULL) DELIVERY and HAND-OVER </w:t>
            </w:r>
            <w:r w:rsidRPr="00F8759F">
              <w:rPr>
                <w:rFonts w:ascii="Arial" w:hAnsi="Arial" w:cs="Arial"/>
                <w:bCs/>
                <w:i/>
                <w:iCs/>
                <w:szCs w:val="24"/>
              </w:rPr>
              <w:t>(in 2021 but not later than July 2021)</w:t>
            </w:r>
          </w:p>
          <w:p w14:paraId="1EB6133F" w14:textId="77777777" w:rsidR="0087689D" w:rsidRPr="00F8759F" w:rsidRDefault="0087689D" w:rsidP="00213065">
            <w:pPr>
              <w:rPr>
                <w:rFonts w:ascii="Arial" w:hAnsi="Arial" w:cs="Arial"/>
                <w:bCs/>
                <w:szCs w:val="24"/>
              </w:rPr>
            </w:pPr>
            <w:r w:rsidRPr="00F8759F">
              <w:rPr>
                <w:rFonts w:ascii="Arial" w:hAnsi="Arial" w:cs="Arial"/>
                <w:bCs/>
                <w:szCs w:val="24"/>
              </w:rPr>
              <w:t>Processing of payment upon full delivery of the items, no later than July 2021; upon submission of the Accomplishment report and 100% complete and show ready and final acceptance/ certifications from the head of the Procuring entity (Alternate Commissioner General)</w:t>
            </w:r>
          </w:p>
          <w:p w14:paraId="4A0D219E" w14:textId="77777777" w:rsidR="0087689D" w:rsidRPr="00F8759F" w:rsidRDefault="0087689D" w:rsidP="00213065">
            <w:pPr>
              <w:rPr>
                <w:rFonts w:ascii="Arial" w:hAnsi="Arial" w:cs="Arial"/>
                <w:bCs/>
                <w:szCs w:val="24"/>
              </w:rPr>
            </w:pPr>
          </w:p>
          <w:p w14:paraId="74CF7A0B" w14:textId="77777777" w:rsidR="0087689D" w:rsidRPr="00F8759F" w:rsidRDefault="0087689D" w:rsidP="00213065">
            <w:pPr>
              <w:rPr>
                <w:rFonts w:ascii="Arial" w:hAnsi="Arial" w:cs="Arial"/>
                <w:bCs/>
                <w:szCs w:val="24"/>
              </w:rPr>
            </w:pPr>
            <w:r w:rsidRPr="00F8759F">
              <w:rPr>
                <w:rFonts w:ascii="Arial" w:hAnsi="Arial" w:cs="Arial"/>
                <w:bCs/>
                <w:szCs w:val="24"/>
              </w:rPr>
              <w:t>1</w:t>
            </w:r>
            <w:r w:rsidRPr="00F8759F">
              <w:rPr>
                <w:rFonts w:ascii="Arial" w:hAnsi="Arial" w:cs="Arial"/>
                <w:bCs/>
                <w:szCs w:val="24"/>
                <w:vertAlign w:val="superscript"/>
              </w:rPr>
              <w:t>st</w:t>
            </w:r>
            <w:r w:rsidRPr="00F8759F">
              <w:rPr>
                <w:rFonts w:ascii="Arial" w:hAnsi="Arial" w:cs="Arial"/>
                <w:bCs/>
                <w:szCs w:val="24"/>
              </w:rPr>
              <w:t xml:space="preserve"> and 2</w:t>
            </w:r>
            <w:r w:rsidRPr="00F8759F">
              <w:rPr>
                <w:rFonts w:ascii="Arial" w:hAnsi="Arial" w:cs="Arial"/>
                <w:bCs/>
                <w:szCs w:val="24"/>
                <w:vertAlign w:val="superscript"/>
              </w:rPr>
              <w:t>nd</w:t>
            </w:r>
            <w:r w:rsidRPr="00F8759F">
              <w:rPr>
                <w:rFonts w:ascii="Arial" w:hAnsi="Arial" w:cs="Arial"/>
                <w:bCs/>
                <w:szCs w:val="24"/>
              </w:rPr>
              <w:t xml:space="preserve"> Payment will be equivalent to the cost of delivered items.</w:t>
            </w:r>
          </w:p>
          <w:p w14:paraId="5689FB6B" w14:textId="77777777" w:rsidR="0087689D" w:rsidRPr="00F8759F" w:rsidRDefault="0087689D" w:rsidP="00213065">
            <w:pPr>
              <w:rPr>
                <w:rFonts w:ascii="Arial" w:hAnsi="Arial" w:cs="Arial"/>
                <w:bCs/>
                <w:szCs w:val="24"/>
              </w:rPr>
            </w:pPr>
          </w:p>
          <w:p w14:paraId="574C9CF5" w14:textId="059990B5" w:rsidR="0087689D" w:rsidRPr="006D0300" w:rsidRDefault="0087689D" w:rsidP="00213065">
            <w:pPr>
              <w:rPr>
                <w:rFonts w:ascii="Arial" w:hAnsi="Arial" w:cs="Arial"/>
                <w:bCs/>
                <w:szCs w:val="24"/>
              </w:rPr>
            </w:pPr>
            <w:r w:rsidRPr="00F8759F">
              <w:rPr>
                <w:rFonts w:ascii="Arial" w:hAnsi="Arial" w:cs="Arial"/>
                <w:bCs/>
                <w:szCs w:val="24"/>
              </w:rPr>
              <w:t xml:space="preserve">Note: </w:t>
            </w:r>
            <w:r>
              <w:rPr>
                <w:rFonts w:ascii="Arial" w:hAnsi="Arial" w:cs="Arial"/>
                <w:bCs/>
                <w:szCs w:val="24"/>
              </w:rPr>
              <w:t>The 5% special letter of bank guarantee shall be released to the winning bidder/ supplier in April 2022 after the EXPO.</w:t>
            </w:r>
          </w:p>
        </w:tc>
      </w:tr>
      <w:tr w:rsidR="0087689D" w:rsidRPr="00F8759F" w14:paraId="68AFD7A6" w14:textId="77777777" w:rsidTr="000F78CF">
        <w:tc>
          <w:tcPr>
            <w:tcW w:w="1241" w:type="dxa"/>
          </w:tcPr>
          <w:p w14:paraId="5551429B" w14:textId="77777777" w:rsidR="0087689D" w:rsidRPr="000F78CF" w:rsidRDefault="0087689D" w:rsidP="00F939E7">
            <w:pPr>
              <w:jc w:val="center"/>
              <w:rPr>
                <w:rFonts w:ascii="Arial" w:hAnsi="Arial" w:cs="Arial"/>
                <w:szCs w:val="24"/>
              </w:rPr>
            </w:pPr>
            <w:r w:rsidRPr="000F78CF">
              <w:rPr>
                <w:rFonts w:ascii="Arial" w:hAnsi="Arial" w:cs="Arial"/>
                <w:szCs w:val="24"/>
              </w:rPr>
              <w:t>3.</w:t>
            </w:r>
          </w:p>
        </w:tc>
        <w:tc>
          <w:tcPr>
            <w:tcW w:w="7789" w:type="dxa"/>
          </w:tcPr>
          <w:p w14:paraId="29751BF0" w14:textId="65A6ABDF" w:rsidR="0087689D" w:rsidRPr="000F78CF" w:rsidRDefault="0087689D" w:rsidP="00213065">
            <w:pPr>
              <w:rPr>
                <w:rFonts w:ascii="Arial" w:hAnsi="Arial" w:cs="Arial"/>
                <w:b/>
                <w:bCs/>
                <w:szCs w:val="24"/>
              </w:rPr>
            </w:pPr>
            <w:r w:rsidRPr="000F78CF">
              <w:rPr>
                <w:rFonts w:ascii="Arial" w:hAnsi="Arial" w:cs="Arial"/>
                <w:b/>
                <w:bCs/>
                <w:szCs w:val="24"/>
              </w:rPr>
              <w:t>Performance Security</w:t>
            </w:r>
          </w:p>
          <w:p w14:paraId="461C88DE" w14:textId="77777777" w:rsidR="0087689D" w:rsidRPr="000F78CF" w:rsidRDefault="0087689D" w:rsidP="00213065">
            <w:pPr>
              <w:rPr>
                <w:rFonts w:ascii="Arial" w:hAnsi="Arial" w:cs="Arial"/>
                <w:b/>
                <w:bCs/>
                <w:szCs w:val="24"/>
              </w:rPr>
            </w:pPr>
          </w:p>
          <w:p w14:paraId="5D24D297" w14:textId="4FBB73FB" w:rsidR="0087689D" w:rsidRPr="000F78CF" w:rsidRDefault="0087689D" w:rsidP="00213065">
            <w:pPr>
              <w:rPr>
                <w:rFonts w:ascii="Arial" w:hAnsi="Arial" w:cs="Arial"/>
                <w:szCs w:val="24"/>
              </w:rPr>
            </w:pPr>
            <w:r w:rsidRPr="000F78CF">
              <w:rPr>
                <w:rFonts w:ascii="Arial" w:hAnsi="Arial" w:cs="Arial"/>
                <w:szCs w:val="24"/>
              </w:rPr>
              <w:t>The obligation for the performance security shall be covered by retention money in an amount equivalent to 5% of every progress payment or a special bank guarantee equivalent to 5% of the total contract price. The said amount shall only be released after the lapse of the warranty period or, in the case if Expendable Supplies, after consumptions thereof: Provided, however, That the supplies delivered are free from patent and latent defects and all the conditions imposed under the contract have been fully met.</w:t>
            </w:r>
          </w:p>
        </w:tc>
      </w:tr>
      <w:tr w:rsidR="0087689D" w:rsidRPr="00F8759F" w14:paraId="7B7E8E0B" w14:textId="77777777" w:rsidTr="000F78CF">
        <w:tc>
          <w:tcPr>
            <w:tcW w:w="1241" w:type="dxa"/>
          </w:tcPr>
          <w:p w14:paraId="3CF0F19E" w14:textId="7666F689" w:rsidR="0087689D" w:rsidRPr="00F8759F" w:rsidRDefault="0087689D" w:rsidP="00F939E7">
            <w:pPr>
              <w:jc w:val="center"/>
              <w:rPr>
                <w:rFonts w:ascii="Arial" w:hAnsi="Arial" w:cs="Arial"/>
                <w:szCs w:val="24"/>
              </w:rPr>
            </w:pPr>
            <w:r w:rsidRPr="00F8759F">
              <w:rPr>
                <w:rFonts w:ascii="Arial" w:hAnsi="Arial" w:cs="Arial"/>
                <w:szCs w:val="24"/>
              </w:rPr>
              <w:t>4</w:t>
            </w:r>
            <w:r w:rsidR="00F939E7">
              <w:rPr>
                <w:rFonts w:ascii="Arial" w:hAnsi="Arial" w:cs="Arial"/>
                <w:szCs w:val="24"/>
              </w:rPr>
              <w:t>.</w:t>
            </w:r>
          </w:p>
        </w:tc>
        <w:tc>
          <w:tcPr>
            <w:tcW w:w="7789" w:type="dxa"/>
          </w:tcPr>
          <w:p w14:paraId="02720CF9" w14:textId="77777777" w:rsidR="0087689D" w:rsidRDefault="0087689D" w:rsidP="00213065">
            <w:pPr>
              <w:rPr>
                <w:rFonts w:ascii="Arial" w:hAnsi="Arial" w:cs="Arial"/>
                <w:b/>
                <w:bCs/>
                <w:szCs w:val="24"/>
              </w:rPr>
            </w:pPr>
            <w:r w:rsidRPr="00F8759F">
              <w:rPr>
                <w:rFonts w:ascii="Arial" w:hAnsi="Arial" w:cs="Arial"/>
                <w:b/>
                <w:bCs/>
                <w:szCs w:val="24"/>
              </w:rPr>
              <w:t>Hand – Over Phase</w:t>
            </w:r>
          </w:p>
          <w:p w14:paraId="6C686660" w14:textId="77777777" w:rsidR="0087689D" w:rsidRPr="00F8759F" w:rsidRDefault="0087689D" w:rsidP="00213065">
            <w:pPr>
              <w:rPr>
                <w:rFonts w:ascii="Arial" w:hAnsi="Arial" w:cs="Arial"/>
                <w:b/>
                <w:bCs/>
                <w:szCs w:val="24"/>
              </w:rPr>
            </w:pPr>
          </w:p>
          <w:p w14:paraId="7C2C5A5F" w14:textId="77777777" w:rsidR="0087689D" w:rsidRPr="00F8759F" w:rsidRDefault="0087689D" w:rsidP="00213065">
            <w:pPr>
              <w:rPr>
                <w:rFonts w:ascii="Arial" w:hAnsi="Arial" w:cs="Arial"/>
                <w:szCs w:val="24"/>
              </w:rPr>
            </w:pPr>
            <w:r w:rsidRPr="00F8759F">
              <w:rPr>
                <w:rFonts w:ascii="Arial" w:hAnsi="Arial" w:cs="Arial"/>
                <w:szCs w:val="24"/>
              </w:rPr>
              <w:t>The contractor must:</w:t>
            </w:r>
          </w:p>
          <w:p w14:paraId="4C93FC33" w14:textId="77777777" w:rsidR="0087689D" w:rsidRPr="00F8759F" w:rsidRDefault="0087689D" w:rsidP="0087689D">
            <w:pPr>
              <w:pStyle w:val="NoSpacing"/>
              <w:numPr>
                <w:ilvl w:val="0"/>
                <w:numId w:val="13"/>
              </w:numPr>
              <w:ind w:left="706" w:hanging="540"/>
              <w:jc w:val="both"/>
              <w:rPr>
                <w:rFonts w:ascii="Arial" w:hAnsi="Arial" w:cs="Arial"/>
                <w:bCs/>
                <w:color w:val="000000" w:themeColor="text1"/>
                <w:sz w:val="24"/>
                <w:szCs w:val="24"/>
              </w:rPr>
            </w:pPr>
            <w:r w:rsidRPr="00F8759F">
              <w:rPr>
                <w:rFonts w:ascii="Arial" w:hAnsi="Arial" w:cs="Arial"/>
                <w:bCs/>
                <w:color w:val="000000" w:themeColor="text1"/>
                <w:sz w:val="24"/>
                <w:szCs w:val="24"/>
              </w:rPr>
              <w:t>Submit all necessary documents and report not later than 31 July 2021;</w:t>
            </w:r>
          </w:p>
          <w:p w14:paraId="643F1CF2" w14:textId="77777777" w:rsidR="0087689D" w:rsidRPr="00F8759F" w:rsidRDefault="0087689D" w:rsidP="00213065">
            <w:pPr>
              <w:pStyle w:val="NoSpacing"/>
              <w:ind w:left="1350"/>
              <w:jc w:val="both"/>
              <w:rPr>
                <w:rFonts w:ascii="Arial" w:hAnsi="Arial" w:cs="Arial"/>
                <w:bCs/>
                <w:color w:val="000000" w:themeColor="text1"/>
                <w:sz w:val="24"/>
                <w:szCs w:val="24"/>
              </w:rPr>
            </w:pPr>
          </w:p>
          <w:p w14:paraId="644669BF" w14:textId="77777777" w:rsidR="0087689D" w:rsidRPr="00F8759F" w:rsidRDefault="0087689D" w:rsidP="0087689D">
            <w:pPr>
              <w:pStyle w:val="NoSpacing"/>
              <w:numPr>
                <w:ilvl w:val="8"/>
                <w:numId w:val="12"/>
              </w:numPr>
              <w:ind w:left="1156" w:hanging="270"/>
              <w:jc w:val="both"/>
              <w:rPr>
                <w:rFonts w:ascii="Arial" w:hAnsi="Arial" w:cs="Arial"/>
                <w:bCs/>
                <w:color w:val="000000" w:themeColor="text1"/>
                <w:sz w:val="24"/>
                <w:szCs w:val="24"/>
              </w:rPr>
            </w:pPr>
            <w:r w:rsidRPr="00F8759F">
              <w:rPr>
                <w:rFonts w:ascii="Arial" w:hAnsi="Arial" w:cs="Arial"/>
                <w:bCs/>
                <w:color w:val="000000" w:themeColor="text1"/>
                <w:sz w:val="24"/>
                <w:szCs w:val="24"/>
              </w:rPr>
              <w:t>Punch listing/ hand over inspection report</w:t>
            </w:r>
          </w:p>
          <w:p w14:paraId="7C53AB8F" w14:textId="77777777" w:rsidR="0087689D" w:rsidRPr="00F8759F" w:rsidRDefault="0087689D" w:rsidP="0087689D">
            <w:pPr>
              <w:pStyle w:val="NoSpacing"/>
              <w:numPr>
                <w:ilvl w:val="8"/>
                <w:numId w:val="12"/>
              </w:numPr>
              <w:ind w:left="1156" w:hanging="270"/>
              <w:jc w:val="both"/>
              <w:rPr>
                <w:rFonts w:ascii="Arial" w:hAnsi="Arial" w:cs="Arial"/>
                <w:bCs/>
                <w:color w:val="000000" w:themeColor="text1"/>
                <w:sz w:val="24"/>
                <w:szCs w:val="24"/>
              </w:rPr>
            </w:pPr>
            <w:r w:rsidRPr="00F8759F">
              <w:rPr>
                <w:rFonts w:ascii="Arial" w:hAnsi="Arial" w:cs="Arial"/>
                <w:bCs/>
                <w:color w:val="000000" w:themeColor="text1"/>
                <w:sz w:val="24"/>
                <w:szCs w:val="24"/>
              </w:rPr>
              <w:t>Assembly manual for the knock-down items (needed for the egress/ dismantling)</w:t>
            </w:r>
          </w:p>
          <w:p w14:paraId="30E991B9" w14:textId="77777777" w:rsidR="0087689D" w:rsidRPr="00F8759F" w:rsidRDefault="0087689D" w:rsidP="00213065">
            <w:pPr>
              <w:pStyle w:val="NoSpacing"/>
              <w:ind w:left="1710"/>
              <w:jc w:val="both"/>
              <w:rPr>
                <w:rFonts w:ascii="Arial" w:hAnsi="Arial" w:cs="Arial"/>
                <w:bCs/>
                <w:color w:val="000000" w:themeColor="text1"/>
                <w:sz w:val="24"/>
                <w:szCs w:val="24"/>
              </w:rPr>
            </w:pPr>
          </w:p>
          <w:p w14:paraId="0B883AF4" w14:textId="77777777" w:rsidR="0087689D" w:rsidRPr="00F8759F" w:rsidRDefault="0087689D" w:rsidP="0087689D">
            <w:pPr>
              <w:pStyle w:val="NoSpacing"/>
              <w:numPr>
                <w:ilvl w:val="0"/>
                <w:numId w:val="13"/>
              </w:numPr>
              <w:ind w:left="706" w:hanging="540"/>
              <w:jc w:val="both"/>
              <w:rPr>
                <w:rFonts w:ascii="Arial" w:hAnsi="Arial" w:cs="Arial"/>
                <w:bCs/>
                <w:color w:val="000000" w:themeColor="text1"/>
                <w:sz w:val="24"/>
                <w:szCs w:val="24"/>
              </w:rPr>
            </w:pPr>
            <w:r w:rsidRPr="00F8759F">
              <w:rPr>
                <w:rFonts w:ascii="Arial" w:hAnsi="Arial" w:cs="Arial"/>
                <w:bCs/>
                <w:color w:val="000000" w:themeColor="text1"/>
                <w:sz w:val="24"/>
                <w:szCs w:val="24"/>
              </w:rPr>
              <w:t>Inspect the installed requirements together with Clients, Project Management Consultant, General Contractor and Design Consultant, if it is implemented according to approved design and plans;</w:t>
            </w:r>
          </w:p>
          <w:p w14:paraId="044A66D4" w14:textId="77777777" w:rsidR="0087689D" w:rsidRPr="00F8759F" w:rsidRDefault="0087689D" w:rsidP="00213065">
            <w:pPr>
              <w:pStyle w:val="NoSpacing"/>
              <w:ind w:left="1620" w:hanging="540"/>
              <w:jc w:val="both"/>
              <w:rPr>
                <w:rFonts w:ascii="Arial" w:hAnsi="Arial" w:cs="Arial"/>
                <w:bCs/>
                <w:color w:val="000000" w:themeColor="text1"/>
                <w:sz w:val="24"/>
                <w:szCs w:val="24"/>
              </w:rPr>
            </w:pPr>
          </w:p>
          <w:p w14:paraId="355791BB" w14:textId="77777777" w:rsidR="0087689D" w:rsidRPr="00F8759F" w:rsidRDefault="0087689D" w:rsidP="00213065">
            <w:pPr>
              <w:rPr>
                <w:rFonts w:ascii="Arial" w:hAnsi="Arial" w:cs="Arial"/>
                <w:szCs w:val="24"/>
              </w:rPr>
            </w:pPr>
            <w:r w:rsidRPr="00F8759F">
              <w:rPr>
                <w:rFonts w:ascii="Arial" w:hAnsi="Arial" w:cs="Arial"/>
                <w:bCs/>
                <w:color w:val="000000" w:themeColor="text1"/>
                <w:szCs w:val="24"/>
              </w:rPr>
              <w:lastRenderedPageBreak/>
              <w:t>Test all the lighting requirements and ensure all are working in good condition together with the Client’s assigned inspector;</w:t>
            </w:r>
          </w:p>
        </w:tc>
      </w:tr>
      <w:tr w:rsidR="0087689D" w:rsidRPr="00F8759F" w14:paraId="7CB893BA" w14:textId="77777777" w:rsidTr="000F78CF">
        <w:trPr>
          <w:trHeight w:val="10512"/>
        </w:trPr>
        <w:tc>
          <w:tcPr>
            <w:tcW w:w="1241" w:type="dxa"/>
          </w:tcPr>
          <w:p w14:paraId="411C3767" w14:textId="6D808479" w:rsidR="0087689D" w:rsidRPr="00F8759F" w:rsidRDefault="0087689D" w:rsidP="00F939E7">
            <w:pPr>
              <w:jc w:val="center"/>
              <w:rPr>
                <w:rFonts w:ascii="Arial" w:hAnsi="Arial" w:cs="Arial"/>
                <w:szCs w:val="24"/>
              </w:rPr>
            </w:pPr>
            <w:r w:rsidRPr="00F8759F">
              <w:rPr>
                <w:rFonts w:ascii="Arial" w:hAnsi="Arial" w:cs="Arial"/>
                <w:szCs w:val="24"/>
              </w:rPr>
              <w:lastRenderedPageBreak/>
              <w:t>5</w:t>
            </w:r>
            <w:r w:rsidR="00F939E7">
              <w:rPr>
                <w:rFonts w:ascii="Arial" w:hAnsi="Arial" w:cs="Arial"/>
                <w:szCs w:val="24"/>
              </w:rPr>
              <w:t>.</w:t>
            </w:r>
          </w:p>
        </w:tc>
        <w:tc>
          <w:tcPr>
            <w:tcW w:w="7789" w:type="dxa"/>
          </w:tcPr>
          <w:p w14:paraId="72864A8C" w14:textId="77777777" w:rsidR="0087689D" w:rsidRDefault="0087689D" w:rsidP="00213065">
            <w:pPr>
              <w:rPr>
                <w:rFonts w:ascii="Arial" w:hAnsi="Arial" w:cs="Arial"/>
                <w:b/>
                <w:bCs/>
                <w:szCs w:val="24"/>
              </w:rPr>
            </w:pPr>
            <w:r w:rsidRPr="00F8759F">
              <w:rPr>
                <w:rFonts w:ascii="Arial" w:hAnsi="Arial" w:cs="Arial"/>
                <w:b/>
                <w:bCs/>
                <w:szCs w:val="24"/>
              </w:rPr>
              <w:t>Warranty</w:t>
            </w:r>
          </w:p>
          <w:p w14:paraId="24E6DEC9" w14:textId="77777777" w:rsidR="0087689D" w:rsidRPr="00F8759F" w:rsidRDefault="0087689D" w:rsidP="00213065">
            <w:pPr>
              <w:rPr>
                <w:rFonts w:ascii="Arial" w:hAnsi="Arial" w:cs="Arial"/>
                <w:b/>
                <w:bCs/>
                <w:szCs w:val="24"/>
              </w:rPr>
            </w:pPr>
          </w:p>
          <w:p w14:paraId="47FD9DA9" w14:textId="77777777" w:rsidR="0087689D" w:rsidRPr="00F8759F" w:rsidRDefault="0087689D" w:rsidP="00213065">
            <w:pPr>
              <w:pStyle w:val="NoSpacing"/>
              <w:numPr>
                <w:ilvl w:val="1"/>
                <w:numId w:val="14"/>
              </w:numPr>
              <w:jc w:val="both"/>
              <w:rPr>
                <w:rFonts w:ascii="Arial" w:hAnsi="Arial" w:cs="Arial"/>
                <w:b/>
                <w:sz w:val="24"/>
                <w:szCs w:val="24"/>
              </w:rPr>
            </w:pPr>
            <w:r w:rsidRPr="00F8759F">
              <w:rPr>
                <w:rFonts w:ascii="Arial" w:hAnsi="Arial" w:cs="Arial"/>
                <w:bCs/>
                <w:sz w:val="24"/>
                <w:szCs w:val="24"/>
              </w:rPr>
              <w:t>The supplier warrants that the good supplied under the contract are new, unused, of the most recent or current models, and that they incorporate all recent improvements in design and materials, except when the technical specifications required by the procuring entity provides otherwise.</w:t>
            </w:r>
          </w:p>
          <w:p w14:paraId="679631A9" w14:textId="77777777" w:rsidR="0087689D" w:rsidRPr="00F8759F" w:rsidRDefault="0087689D" w:rsidP="00213065">
            <w:pPr>
              <w:pStyle w:val="NoSpacing"/>
              <w:ind w:left="720"/>
              <w:jc w:val="both"/>
              <w:rPr>
                <w:rFonts w:ascii="Arial" w:hAnsi="Arial" w:cs="Arial"/>
                <w:b/>
                <w:sz w:val="24"/>
                <w:szCs w:val="24"/>
              </w:rPr>
            </w:pPr>
          </w:p>
          <w:p w14:paraId="07FC155D" w14:textId="77777777" w:rsidR="0087689D" w:rsidRPr="00F8759F" w:rsidRDefault="0087689D" w:rsidP="00213065">
            <w:pPr>
              <w:pStyle w:val="NoSpacing"/>
              <w:numPr>
                <w:ilvl w:val="1"/>
                <w:numId w:val="14"/>
              </w:numPr>
              <w:jc w:val="both"/>
              <w:rPr>
                <w:rFonts w:ascii="Arial" w:hAnsi="Arial" w:cs="Arial"/>
                <w:b/>
                <w:sz w:val="24"/>
                <w:szCs w:val="24"/>
              </w:rPr>
            </w:pPr>
            <w:r w:rsidRPr="00F8759F">
              <w:rPr>
                <w:rFonts w:ascii="Arial" w:hAnsi="Arial" w:cs="Arial"/>
                <w:bCs/>
                <w:sz w:val="24"/>
                <w:szCs w:val="24"/>
              </w:rPr>
              <w:t>The supplier further warrants that all Goods supplier under contract shall have no defect, arising from materials or workmanship or from any act or omission of the supplier that may develop under normal use of the supplied goods in the conditions prevailing in the country of final destination.</w:t>
            </w:r>
          </w:p>
          <w:p w14:paraId="6CCC32A6" w14:textId="77777777" w:rsidR="0087689D" w:rsidRPr="00F8759F" w:rsidRDefault="0087689D" w:rsidP="00213065">
            <w:pPr>
              <w:pStyle w:val="ListParagraph"/>
              <w:rPr>
                <w:rFonts w:ascii="Arial" w:hAnsi="Arial" w:cs="Arial"/>
                <w:bCs/>
                <w:szCs w:val="24"/>
              </w:rPr>
            </w:pPr>
          </w:p>
          <w:p w14:paraId="70C00E67" w14:textId="77777777" w:rsidR="0087689D" w:rsidRPr="00F8759F" w:rsidRDefault="0087689D" w:rsidP="00213065">
            <w:pPr>
              <w:pStyle w:val="NoSpacing"/>
              <w:numPr>
                <w:ilvl w:val="1"/>
                <w:numId w:val="14"/>
              </w:numPr>
              <w:jc w:val="both"/>
              <w:rPr>
                <w:rFonts w:ascii="Arial" w:hAnsi="Arial" w:cs="Arial"/>
                <w:b/>
                <w:sz w:val="24"/>
                <w:szCs w:val="24"/>
              </w:rPr>
            </w:pPr>
            <w:r w:rsidRPr="00F8759F">
              <w:rPr>
                <w:rFonts w:ascii="Arial" w:hAnsi="Arial" w:cs="Arial"/>
                <w:bCs/>
                <w:sz w:val="24"/>
                <w:szCs w:val="24"/>
              </w:rPr>
              <w:t>In order to assure that manufacturing defects shall be corrected by the supplier, a warranty shall be required from the supplier for a minimum period specified in the Contract. The obligation for the warranty shall be covered by, at the supplier’s retention fee by special bank guarantee equivalent to the 5% of the contract cost and shall only be released after the lapse of the warranty period specified in the contract.</w:t>
            </w:r>
          </w:p>
          <w:p w14:paraId="12F56840" w14:textId="77777777" w:rsidR="0087689D" w:rsidRPr="00F8759F" w:rsidRDefault="0087689D" w:rsidP="00213065">
            <w:pPr>
              <w:pStyle w:val="ListParagraph"/>
              <w:rPr>
                <w:rFonts w:ascii="Arial" w:hAnsi="Arial" w:cs="Arial"/>
                <w:bCs/>
                <w:szCs w:val="24"/>
              </w:rPr>
            </w:pPr>
          </w:p>
          <w:p w14:paraId="6BAD2934" w14:textId="77777777" w:rsidR="0087689D" w:rsidRPr="00F8759F" w:rsidRDefault="0087689D" w:rsidP="00213065">
            <w:pPr>
              <w:pStyle w:val="NoSpacing"/>
              <w:numPr>
                <w:ilvl w:val="1"/>
                <w:numId w:val="14"/>
              </w:numPr>
              <w:jc w:val="both"/>
              <w:rPr>
                <w:rFonts w:ascii="Arial" w:hAnsi="Arial" w:cs="Arial"/>
                <w:b/>
                <w:sz w:val="24"/>
                <w:szCs w:val="24"/>
              </w:rPr>
            </w:pPr>
            <w:r w:rsidRPr="00F8759F">
              <w:rPr>
                <w:rFonts w:ascii="Arial" w:hAnsi="Arial" w:cs="Arial"/>
                <w:bCs/>
                <w:sz w:val="24"/>
                <w:szCs w:val="24"/>
              </w:rPr>
              <w:t>The procuring entity shall promptly notify the supplier in writing of any claims arising under this warranty. Upon receipt of such notice, the supplier shall, within the period agreed or specified in the Special Conditions of Contract and with all reasonable speed, repair or replace the defective goods or parts thereof, without cost to the Procuring Entity.</w:t>
            </w:r>
          </w:p>
          <w:p w14:paraId="6D129471" w14:textId="77777777" w:rsidR="0087689D" w:rsidRPr="00F8759F" w:rsidRDefault="0087689D" w:rsidP="00213065">
            <w:pPr>
              <w:pStyle w:val="ListParagraph"/>
              <w:rPr>
                <w:rFonts w:ascii="Arial" w:hAnsi="Arial" w:cs="Arial"/>
                <w:bCs/>
                <w:szCs w:val="24"/>
              </w:rPr>
            </w:pPr>
          </w:p>
          <w:p w14:paraId="7CD5AA42" w14:textId="77777777" w:rsidR="0087689D" w:rsidRPr="00F8759F" w:rsidRDefault="0087689D" w:rsidP="00213065">
            <w:pPr>
              <w:pStyle w:val="NoSpacing"/>
              <w:numPr>
                <w:ilvl w:val="1"/>
                <w:numId w:val="14"/>
              </w:numPr>
              <w:jc w:val="both"/>
              <w:rPr>
                <w:rFonts w:ascii="Arial" w:hAnsi="Arial" w:cs="Arial"/>
                <w:b/>
                <w:sz w:val="24"/>
                <w:szCs w:val="24"/>
              </w:rPr>
            </w:pPr>
            <w:r w:rsidRPr="00F8759F">
              <w:rPr>
                <w:rFonts w:ascii="Arial" w:hAnsi="Arial" w:cs="Arial"/>
                <w:bCs/>
                <w:sz w:val="24"/>
                <w:szCs w:val="24"/>
              </w:rPr>
              <w:t>If the supplier, having been notified, fails to remedy the detect(s) within the period specified in the contract, the procuring entity may proceed to take such remedial action as may be necessary, at the supplier’s risk and expense and without prejudice to any other rights which the procuring entity may have against the supplier under the contract and under the applicable law.</w:t>
            </w:r>
          </w:p>
          <w:p w14:paraId="2BF1A5E1" w14:textId="77777777" w:rsidR="0087689D" w:rsidRPr="00F8759F" w:rsidRDefault="0087689D" w:rsidP="00213065">
            <w:pPr>
              <w:pStyle w:val="ListParagraph"/>
              <w:rPr>
                <w:rFonts w:ascii="Arial" w:hAnsi="Arial" w:cs="Arial"/>
                <w:bCs/>
                <w:szCs w:val="24"/>
              </w:rPr>
            </w:pPr>
          </w:p>
          <w:p w14:paraId="677B354C" w14:textId="0C54544E" w:rsidR="0087689D" w:rsidRPr="0087689D" w:rsidRDefault="0087689D" w:rsidP="00213065">
            <w:pPr>
              <w:pStyle w:val="NoSpacing"/>
              <w:numPr>
                <w:ilvl w:val="1"/>
                <w:numId w:val="14"/>
              </w:numPr>
              <w:jc w:val="both"/>
              <w:rPr>
                <w:rFonts w:ascii="Arial" w:hAnsi="Arial" w:cs="Arial"/>
                <w:b/>
                <w:sz w:val="24"/>
                <w:szCs w:val="24"/>
              </w:rPr>
            </w:pPr>
            <w:r w:rsidRPr="00F8759F">
              <w:rPr>
                <w:rFonts w:ascii="Arial" w:hAnsi="Arial" w:cs="Arial"/>
                <w:bCs/>
                <w:sz w:val="24"/>
                <w:szCs w:val="24"/>
              </w:rPr>
              <w:t>The warranty period will start from the date of delivery and will end 31 March 2022 or based on the end date of the event set by the Expo organizer.</w:t>
            </w:r>
          </w:p>
        </w:tc>
      </w:tr>
      <w:tr w:rsidR="0087689D" w:rsidRPr="00F8759F" w14:paraId="2E09452D" w14:textId="77777777" w:rsidTr="000F78CF">
        <w:tc>
          <w:tcPr>
            <w:tcW w:w="1241" w:type="dxa"/>
          </w:tcPr>
          <w:p w14:paraId="50082EB8" w14:textId="77777777" w:rsidR="0087689D" w:rsidRPr="00F8759F" w:rsidRDefault="0087689D" w:rsidP="00F939E7">
            <w:pPr>
              <w:jc w:val="center"/>
              <w:rPr>
                <w:rFonts w:ascii="Arial" w:hAnsi="Arial" w:cs="Arial"/>
                <w:szCs w:val="24"/>
              </w:rPr>
            </w:pPr>
            <w:r w:rsidRPr="00F8759F">
              <w:rPr>
                <w:rFonts w:ascii="Arial" w:hAnsi="Arial" w:cs="Arial"/>
                <w:szCs w:val="24"/>
              </w:rPr>
              <w:t>6.</w:t>
            </w:r>
          </w:p>
        </w:tc>
        <w:tc>
          <w:tcPr>
            <w:tcW w:w="7789" w:type="dxa"/>
          </w:tcPr>
          <w:p w14:paraId="64F53543" w14:textId="77777777" w:rsidR="0087689D" w:rsidRPr="00F8759F" w:rsidRDefault="0087689D" w:rsidP="00213065">
            <w:pPr>
              <w:rPr>
                <w:rFonts w:ascii="Arial" w:hAnsi="Arial" w:cs="Arial"/>
                <w:szCs w:val="24"/>
              </w:rPr>
            </w:pPr>
            <w:r w:rsidRPr="00F8759F">
              <w:rPr>
                <w:rFonts w:ascii="Arial" w:hAnsi="Arial" w:cs="Arial"/>
                <w:szCs w:val="24"/>
              </w:rPr>
              <w:t>No additional provision, however, all partners to the joint venture shall be jointly and severally liable to the Procuring Entity.</w:t>
            </w:r>
          </w:p>
        </w:tc>
      </w:tr>
    </w:tbl>
    <w:p w14:paraId="3B1C206D" w14:textId="77777777" w:rsidR="00513EA7" w:rsidRPr="00A03419" w:rsidRDefault="00513EA7" w:rsidP="00A03419">
      <w:pPr>
        <w:rPr>
          <w:rFonts w:eastAsiaTheme="minorHAnsi"/>
        </w:rPr>
      </w:pPr>
    </w:p>
    <w:sectPr w:rsidR="00513EA7" w:rsidRPr="00A03419" w:rsidSect="0087689D">
      <w:headerReference w:type="default" r:id="rId10"/>
      <w:pgSz w:w="11900" w:h="16834"/>
      <w:pgMar w:top="1972" w:right="1429" w:bottom="1440" w:left="144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83DE" w14:textId="77777777" w:rsidR="003947D5" w:rsidRDefault="003947D5" w:rsidP="003B2276">
      <w:pPr>
        <w:spacing w:line="240" w:lineRule="auto"/>
      </w:pPr>
      <w:r>
        <w:separator/>
      </w:r>
    </w:p>
  </w:endnote>
  <w:endnote w:type="continuationSeparator" w:id="0">
    <w:p w14:paraId="635D3303" w14:textId="77777777" w:rsidR="003947D5" w:rsidRDefault="003947D5" w:rsidP="003B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E961C" w14:textId="77777777" w:rsidR="003947D5" w:rsidRDefault="003947D5" w:rsidP="003B2276">
      <w:pPr>
        <w:spacing w:line="240" w:lineRule="auto"/>
      </w:pPr>
      <w:r>
        <w:separator/>
      </w:r>
    </w:p>
  </w:footnote>
  <w:footnote w:type="continuationSeparator" w:id="0">
    <w:p w14:paraId="057E0579" w14:textId="77777777" w:rsidR="003947D5" w:rsidRDefault="003947D5" w:rsidP="003B2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DAE3" w14:textId="71F679EF" w:rsidR="003B2276" w:rsidRDefault="003B2276">
    <w:pPr>
      <w:pStyle w:val="Header"/>
    </w:pPr>
    <w:r w:rsidRPr="00622B5C">
      <w:rPr>
        <w:noProof/>
      </w:rPr>
      <w:drawing>
        <wp:anchor distT="0" distB="0" distL="114300" distR="114300" simplePos="0" relativeHeight="251659264" behindDoc="1" locked="0" layoutInCell="1" allowOverlap="1" wp14:anchorId="058C0D86" wp14:editId="40962A4B">
          <wp:simplePos x="0" y="0"/>
          <wp:positionH relativeFrom="margin">
            <wp:align>center</wp:align>
          </wp:positionH>
          <wp:positionV relativeFrom="paragraph">
            <wp:posOffset>170180</wp:posOffset>
          </wp:positionV>
          <wp:extent cx="1740191" cy="819697"/>
          <wp:effectExtent l="0" t="0" r="0" b="0"/>
          <wp:wrapTight wrapText="bothSides">
            <wp:wrapPolygon edited="0">
              <wp:start x="18683" y="0"/>
              <wp:lineTo x="0" y="0"/>
              <wp:lineTo x="0" y="21098"/>
              <wp:lineTo x="19866" y="21098"/>
              <wp:lineTo x="21048" y="21098"/>
              <wp:lineTo x="21285" y="15572"/>
              <wp:lineTo x="21285" y="1507"/>
              <wp:lineTo x="21048" y="0"/>
              <wp:lineTo x="1868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91" cy="8196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F"/>
    <w:multiLevelType w:val="hybridMultilevel"/>
    <w:tmpl w:val="12E685F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0"/>
    <w:multiLevelType w:val="hybridMultilevel"/>
    <w:tmpl w:val="70C6A52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1"/>
    <w:multiLevelType w:val="hybridMultilevel"/>
    <w:tmpl w:val="520EEDD0"/>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2"/>
    <w:multiLevelType w:val="hybridMultilevel"/>
    <w:tmpl w:val="374A3F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18977CE"/>
    <w:multiLevelType w:val="hybridMultilevel"/>
    <w:tmpl w:val="D60AD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42C45"/>
    <w:multiLevelType w:val="multilevel"/>
    <w:tmpl w:val="00D4324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16864759"/>
    <w:multiLevelType w:val="multilevel"/>
    <w:tmpl w:val="8DF6B7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7E0B2C"/>
    <w:multiLevelType w:val="hybridMultilevel"/>
    <w:tmpl w:val="725825CC"/>
    <w:lvl w:ilvl="0" w:tplc="E51629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A4086"/>
    <w:multiLevelType w:val="hybridMultilevel"/>
    <w:tmpl w:val="C3CE6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F6ECA"/>
    <w:multiLevelType w:val="hybridMultilevel"/>
    <w:tmpl w:val="2788E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65F7B"/>
    <w:multiLevelType w:val="multilevel"/>
    <w:tmpl w:val="8FA05C0A"/>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7490B48"/>
    <w:multiLevelType w:val="hybridMultilevel"/>
    <w:tmpl w:val="FDD8DD6A"/>
    <w:lvl w:ilvl="0" w:tplc="0988274C">
      <w:start w:val="1"/>
      <w:numFmt w:val="lowerLetter"/>
      <w:lvlText w:val="(%1)"/>
      <w:lvlJc w:val="left"/>
      <w:pPr>
        <w:ind w:left="19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A9164DC"/>
    <w:multiLevelType w:val="multilevel"/>
    <w:tmpl w:val="F2FAFE86"/>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2"/>
  </w:num>
  <w:num w:numId="5">
    <w:abstractNumId w:val="3"/>
  </w:num>
  <w:num w:numId="6">
    <w:abstractNumId w:val="13"/>
  </w:num>
  <w:num w:numId="7">
    <w:abstractNumId w:val="10"/>
  </w:num>
  <w:num w:numId="8">
    <w:abstractNumId w:val="9"/>
  </w:num>
  <w:num w:numId="9">
    <w:abstractNumId w:val="7"/>
  </w:num>
  <w:num w:numId="10">
    <w:abstractNumId w:val="5"/>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62"/>
    <w:rsid w:val="000604F8"/>
    <w:rsid w:val="000F78CF"/>
    <w:rsid w:val="003947D5"/>
    <w:rsid w:val="003B2276"/>
    <w:rsid w:val="0040703A"/>
    <w:rsid w:val="004834EA"/>
    <w:rsid w:val="004A3F3B"/>
    <w:rsid w:val="00513EA7"/>
    <w:rsid w:val="005C087E"/>
    <w:rsid w:val="00611AA9"/>
    <w:rsid w:val="00632031"/>
    <w:rsid w:val="006D0300"/>
    <w:rsid w:val="007C2645"/>
    <w:rsid w:val="0087689D"/>
    <w:rsid w:val="008E4869"/>
    <w:rsid w:val="009578DF"/>
    <w:rsid w:val="009E0B02"/>
    <w:rsid w:val="00A03419"/>
    <w:rsid w:val="00B155DC"/>
    <w:rsid w:val="00B91262"/>
    <w:rsid w:val="00D60FA2"/>
    <w:rsid w:val="00E6190B"/>
    <w:rsid w:val="00E74E84"/>
    <w:rsid w:val="00ED6CAB"/>
    <w:rsid w:val="00F4650B"/>
    <w:rsid w:val="00F87412"/>
    <w:rsid w:val="00F9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7AFE"/>
  <w15:chartTrackingRefBased/>
  <w15:docId w15:val="{0F15371E-9043-4B42-A05E-CA6C44A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0B"/>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604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h3,1.2.3.,Section Header3,Sub-Clause Paragraph"/>
    <w:next w:val="Normal"/>
    <w:link w:val="Heading3Char"/>
    <w:qFormat/>
    <w:rsid w:val="00E6190B"/>
    <w:pPr>
      <w:numPr>
        <w:ilvl w:val="1"/>
        <w:numId w:val="1"/>
      </w:numPr>
      <w:spacing w:before="240" w:after="240" w:line="240" w:lineRule="atLeast"/>
      <w:jc w:val="both"/>
      <w:outlineLvl w:val="2"/>
    </w:pPr>
    <w:rPr>
      <w:rFonts w:ascii="Times New Roman" w:eastAsia="Times New Roman" w:hAnsi="Times New Roman" w:cs="Times New Roman"/>
      <w:b/>
      <w:bCs/>
      <w:iCs/>
      <w:sz w:val="28"/>
      <w:szCs w:val="28"/>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1.2.3. Char,Section Header3 Char,Sub-Clause Paragraph Char"/>
    <w:basedOn w:val="DefaultParagraphFont"/>
    <w:link w:val="Heading3"/>
    <w:rsid w:val="00E6190B"/>
    <w:rPr>
      <w:rFonts w:ascii="Times New Roman" w:eastAsia="Times New Roman" w:hAnsi="Times New Roman" w:cs="Times New Roman"/>
      <w:b/>
      <w:bCs/>
      <w:iCs/>
      <w:sz w:val="28"/>
      <w:szCs w:val="28"/>
      <w:lang w:val="en-PH" w:eastAsia="en-PH"/>
    </w:rPr>
  </w:style>
  <w:style w:type="paragraph" w:customStyle="1" w:styleId="Style1">
    <w:name w:val="Style1"/>
    <w:basedOn w:val="Heading3"/>
    <w:link w:val="Style1Char"/>
    <w:qFormat/>
    <w:rsid w:val="00E6190B"/>
    <w:pPr>
      <w:numPr>
        <w:ilvl w:val="2"/>
      </w:numPr>
      <w:tabs>
        <w:tab w:val="clear" w:pos="2070"/>
      </w:tabs>
      <w:spacing w:before="0"/>
      <w:ind w:left="1440"/>
    </w:pPr>
    <w:rPr>
      <w:b w:val="0"/>
      <w:sz w:val="24"/>
    </w:rPr>
  </w:style>
  <w:style w:type="character" w:customStyle="1" w:styleId="Style1Char">
    <w:name w:val="Style1 Char"/>
    <w:link w:val="Style1"/>
    <w:rsid w:val="00E6190B"/>
    <w:rPr>
      <w:rFonts w:ascii="Times New Roman" w:eastAsia="Times New Roman" w:hAnsi="Times New Roman" w:cs="Times New Roman"/>
      <w:bCs/>
      <w:iCs/>
      <w:sz w:val="24"/>
      <w:szCs w:val="28"/>
      <w:lang w:val="en-PH" w:eastAsia="en-PH"/>
    </w:rPr>
  </w:style>
  <w:style w:type="paragraph" w:styleId="Header">
    <w:name w:val="header"/>
    <w:basedOn w:val="Normal"/>
    <w:link w:val="HeaderChar"/>
    <w:uiPriority w:val="99"/>
    <w:unhideWhenUsed/>
    <w:rsid w:val="003B2276"/>
    <w:pPr>
      <w:tabs>
        <w:tab w:val="center" w:pos="4680"/>
        <w:tab w:val="right" w:pos="9360"/>
      </w:tabs>
      <w:spacing w:line="240" w:lineRule="auto"/>
    </w:pPr>
  </w:style>
  <w:style w:type="character" w:customStyle="1" w:styleId="HeaderChar">
    <w:name w:val="Header Char"/>
    <w:basedOn w:val="DefaultParagraphFont"/>
    <w:link w:val="Header"/>
    <w:uiPriority w:val="99"/>
    <w:rsid w:val="003B22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B2276"/>
    <w:pPr>
      <w:tabs>
        <w:tab w:val="center" w:pos="4680"/>
        <w:tab w:val="right" w:pos="9360"/>
      </w:tabs>
      <w:spacing w:line="240" w:lineRule="auto"/>
    </w:pPr>
  </w:style>
  <w:style w:type="character" w:customStyle="1" w:styleId="FooterChar">
    <w:name w:val="Footer Char"/>
    <w:basedOn w:val="DefaultParagraphFont"/>
    <w:link w:val="Footer"/>
    <w:uiPriority w:val="99"/>
    <w:rsid w:val="003B227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604F8"/>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0604F8"/>
    <w:pPr>
      <w:widowControl w:val="0"/>
      <w:overflowPunct/>
      <w:adjustRightInd/>
      <w:spacing w:line="240" w:lineRule="auto"/>
      <w:jc w:val="left"/>
      <w:textAlignment w:val="auto"/>
    </w:pPr>
    <w:rPr>
      <w:sz w:val="22"/>
      <w:szCs w:val="22"/>
    </w:rPr>
  </w:style>
  <w:style w:type="paragraph" w:styleId="ListParagraph">
    <w:name w:val="List Paragraph"/>
    <w:basedOn w:val="Normal"/>
    <w:link w:val="ListParagraphChar"/>
    <w:uiPriority w:val="34"/>
    <w:qFormat/>
    <w:rsid w:val="004834EA"/>
    <w:pPr>
      <w:ind w:left="720"/>
      <w:contextualSpacing/>
    </w:pPr>
  </w:style>
  <w:style w:type="table" w:styleId="TableGrid">
    <w:name w:val="Table Grid"/>
    <w:basedOn w:val="TableNormal"/>
    <w:uiPriority w:val="39"/>
    <w:rsid w:val="0087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89D"/>
    <w:rPr>
      <w:color w:val="0563C1" w:themeColor="hyperlink"/>
      <w:u w:val="single"/>
    </w:rPr>
  </w:style>
  <w:style w:type="paragraph" w:styleId="NoSpacing">
    <w:name w:val="No Spacing"/>
    <w:uiPriority w:val="1"/>
    <w:qFormat/>
    <w:rsid w:val="0087689D"/>
    <w:pPr>
      <w:spacing w:after="0" w:line="240" w:lineRule="auto"/>
    </w:pPr>
  </w:style>
  <w:style w:type="character" w:customStyle="1" w:styleId="ListParagraphChar">
    <w:name w:val="List Paragraph Char"/>
    <w:link w:val="ListParagraph"/>
    <w:uiPriority w:val="34"/>
    <w:locked/>
    <w:rsid w:val="0087689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ai@dti.gov.ph" TargetMode="External"/><Relationship Id="rId3" Type="http://schemas.openxmlformats.org/officeDocument/2006/relationships/settings" Target="settings.xml"/><Relationship Id="rId7" Type="http://schemas.openxmlformats.org/officeDocument/2006/relationships/hyperlink" Target="mailto:charmainemignonyalong@dti.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ti.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 Yulas</dc:creator>
  <cp:keywords/>
  <dc:description/>
  <cp:lastModifiedBy>Denice Joy Gumtang</cp:lastModifiedBy>
  <cp:revision>3</cp:revision>
  <dcterms:created xsi:type="dcterms:W3CDTF">2020-11-10T09:14:00Z</dcterms:created>
  <dcterms:modified xsi:type="dcterms:W3CDTF">2020-11-11T12:34:00Z</dcterms:modified>
</cp:coreProperties>
</file>